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3167" w14:textId="5435A684" w:rsidR="00AF7A4A" w:rsidRDefault="00AF7A4A" w:rsidP="00AF7A4A">
      <w:pPr>
        <w:pStyle w:val="paragraph"/>
        <w:spacing w:before="0" w:beforeAutospacing="0" w:after="0" w:afterAutospacing="0"/>
        <w:textAlignment w:val="baseline"/>
        <w:rPr>
          <w:rStyle w:val="normaltextrun"/>
          <w:rFonts w:ascii="Foundry Form Sans" w:hAnsi="Foundry Form Sans" w:cs="Segoe UI"/>
        </w:rPr>
      </w:pPr>
      <w:r w:rsidRPr="00AF7A4A">
        <w:rPr>
          <w:rStyle w:val="normaltextrun"/>
          <w:rFonts w:ascii="Foundry Form Sans" w:hAnsi="Foundry Form Sans" w:cs="Segoe UI"/>
        </w:rPr>
        <w:t xml:space="preserve">This document provides a summary of the Level 1 metrics for the </w:t>
      </w:r>
      <w:hyperlink r:id="rId11" w:history="1">
        <w:r w:rsidRPr="000775B0">
          <w:rPr>
            <w:rStyle w:val="Hyperlink"/>
            <w:rFonts w:ascii="Foundry Form Sans" w:hAnsi="Foundry Form Sans" w:cs="Segoe UI"/>
          </w:rPr>
          <w:t>Building a Fairer City (BFC)</w:t>
        </w:r>
      </w:hyperlink>
      <w:r w:rsidRPr="00AF7A4A">
        <w:rPr>
          <w:rStyle w:val="normaltextrun"/>
          <w:rFonts w:ascii="Foundry Form Sans" w:hAnsi="Foundry Form Sans" w:cs="Segoe UI"/>
        </w:rPr>
        <w:t xml:space="preserve"> work programme</w:t>
      </w:r>
      <w:r>
        <w:rPr>
          <w:rStyle w:val="normaltextrun"/>
          <w:rFonts w:ascii="Foundry Form Sans" w:hAnsi="Foundry Form Sans" w:cs="Segoe UI"/>
        </w:rPr>
        <w:t xml:space="preserve">. </w:t>
      </w:r>
    </w:p>
    <w:p w14:paraId="332E52BB" w14:textId="77777777" w:rsidR="00AF7A4A" w:rsidRDefault="00AF7A4A" w:rsidP="00AF7A4A">
      <w:pPr>
        <w:pStyle w:val="paragraph"/>
        <w:spacing w:before="0" w:beforeAutospacing="0" w:after="0" w:afterAutospacing="0"/>
        <w:textAlignment w:val="baseline"/>
        <w:rPr>
          <w:rStyle w:val="normaltextrun"/>
          <w:rFonts w:ascii="Foundry Form Sans" w:hAnsi="Foundry Form Sans" w:cs="Segoe UI"/>
        </w:rPr>
      </w:pPr>
    </w:p>
    <w:p w14:paraId="5E10263A" w14:textId="77777777" w:rsidR="00AF7A4A" w:rsidRDefault="00AF7A4A" w:rsidP="00AF7A4A">
      <w:pPr>
        <w:pStyle w:val="paragraph"/>
        <w:spacing w:before="0" w:beforeAutospacing="0" w:after="0" w:afterAutospacing="0"/>
        <w:textAlignment w:val="baseline"/>
        <w:rPr>
          <w:rStyle w:val="normaltextrun"/>
          <w:rFonts w:ascii="Foundry Form Sans" w:hAnsi="Foundry Form Sans" w:cs="Segoe UI"/>
        </w:rPr>
      </w:pPr>
      <w:r w:rsidRPr="00AF7A4A">
        <w:rPr>
          <w:rStyle w:val="normaltextrun"/>
          <w:rFonts w:ascii="Foundry Form Sans" w:hAnsi="Foundry Form Sans" w:cs="Segoe UI"/>
        </w:rPr>
        <w:t>Level 1</w:t>
      </w:r>
      <w:r>
        <w:rPr>
          <w:rStyle w:val="normaltextrun"/>
          <w:rFonts w:ascii="Foundry Form Sans" w:hAnsi="Foundry Form Sans" w:cs="Segoe UI"/>
        </w:rPr>
        <w:t xml:space="preserve"> metrics are c</w:t>
      </w:r>
      <w:r w:rsidRPr="00AF7A4A">
        <w:rPr>
          <w:rStyle w:val="normaltextrun"/>
          <w:rFonts w:ascii="Foundry Form Sans" w:hAnsi="Foundry Form Sans" w:cs="Segoe UI"/>
        </w:rPr>
        <w:t xml:space="preserve">ity-wide quantitative measures </w:t>
      </w:r>
      <w:r>
        <w:rPr>
          <w:rStyle w:val="normaltextrun"/>
          <w:rFonts w:ascii="Foundry Form Sans" w:hAnsi="Foundry Form Sans" w:cs="Segoe UI"/>
        </w:rPr>
        <w:t>that</w:t>
      </w:r>
      <w:r w:rsidRPr="00AF7A4A">
        <w:rPr>
          <w:rStyle w:val="normaltextrun"/>
          <w:rFonts w:ascii="Foundry Form Sans" w:hAnsi="Foundry Form Sans" w:cs="Segoe UI"/>
        </w:rPr>
        <w:t xml:space="preserve"> are outcome focused</w:t>
      </w:r>
      <w:r>
        <w:rPr>
          <w:rStyle w:val="normaltextrun"/>
          <w:rFonts w:ascii="Foundry Form Sans" w:hAnsi="Foundry Form Sans" w:cs="Segoe UI"/>
        </w:rPr>
        <w:t xml:space="preserve">. </w:t>
      </w:r>
      <w:r w:rsidRPr="00C62691">
        <w:rPr>
          <w:rStyle w:val="normaltextrun"/>
          <w:rFonts w:ascii="Foundry Form Sans" w:hAnsi="Foundry Form Sans" w:cs="Segoe UI"/>
        </w:rPr>
        <w:t xml:space="preserve">These provide an overall picture on structural inequalities relating to the four priority areas of the plan across London. </w:t>
      </w:r>
    </w:p>
    <w:p w14:paraId="49230750" w14:textId="77777777" w:rsidR="00AF7A4A" w:rsidRDefault="00AF7A4A" w:rsidP="00AF7A4A">
      <w:pPr>
        <w:pStyle w:val="paragraph"/>
        <w:spacing w:before="0" w:beforeAutospacing="0" w:after="0" w:afterAutospacing="0"/>
        <w:textAlignment w:val="baseline"/>
        <w:rPr>
          <w:rStyle w:val="normaltextrun"/>
          <w:rFonts w:ascii="Foundry Form Sans" w:hAnsi="Foundry Form Sans" w:cs="Segoe UI"/>
        </w:rPr>
      </w:pPr>
    </w:p>
    <w:p w14:paraId="76691376" w14:textId="2C9772FC" w:rsidR="00AF7A4A" w:rsidRPr="00C62691" w:rsidRDefault="00AF7A4A" w:rsidP="00AF7A4A">
      <w:pPr>
        <w:pStyle w:val="paragraph"/>
        <w:spacing w:before="0" w:beforeAutospacing="0" w:after="0" w:afterAutospacing="0"/>
        <w:textAlignment w:val="baseline"/>
        <w:rPr>
          <w:rFonts w:ascii="Foundry Form Sans" w:hAnsi="Foundry Form Sans" w:cs="Segoe UI"/>
        </w:rPr>
      </w:pPr>
      <w:r w:rsidRPr="00C62691">
        <w:rPr>
          <w:rStyle w:val="normaltextrun"/>
          <w:rFonts w:ascii="Foundry Form Sans" w:hAnsi="Foundry Form Sans" w:cs="Segoe UI"/>
        </w:rPr>
        <w:t>These measures will be linked to many influences, such as living and poverty levels, and it will not be possible to directly link improvements or a worsening picture solely to work relating to the plan. However, they will provide an indication of where further action is needed. These seven measures agreed by members are:</w:t>
      </w:r>
      <w:r w:rsidRPr="00C62691">
        <w:rPr>
          <w:rStyle w:val="eop"/>
          <w:rFonts w:ascii="Foundry Form Sans" w:hAnsi="Foundry Form Sans" w:cs="Segoe UI"/>
        </w:rPr>
        <w:t> </w:t>
      </w:r>
    </w:p>
    <w:p w14:paraId="381C80A4" w14:textId="50C22228" w:rsidR="00AF7A4A" w:rsidRDefault="00AF7A4A" w:rsidP="005E04D3">
      <w:pPr>
        <w:pStyle w:val="paragraph"/>
        <w:spacing w:before="0" w:beforeAutospacing="0" w:after="0" w:afterAutospacing="0"/>
        <w:textAlignment w:val="baseline"/>
        <w:rPr>
          <w:rFonts w:ascii="Foundry Form Sans" w:hAnsi="Foundry Form Sans" w:cs="Segoe UI"/>
        </w:rPr>
      </w:pPr>
    </w:p>
    <w:tbl>
      <w:tblPr>
        <w:tblStyle w:val="TableGrid"/>
        <w:tblW w:w="5000" w:type="pct"/>
        <w:tblLook w:val="04A0" w:firstRow="1" w:lastRow="0" w:firstColumn="1" w:lastColumn="0" w:noHBand="0" w:noVBand="1"/>
      </w:tblPr>
      <w:tblGrid>
        <w:gridCol w:w="2689"/>
        <w:gridCol w:w="1134"/>
        <w:gridCol w:w="5193"/>
      </w:tblGrid>
      <w:tr w:rsidR="005E04D3" w:rsidRPr="00DB054F" w14:paraId="257E48B3" w14:textId="77777777" w:rsidTr="00665676">
        <w:tc>
          <w:tcPr>
            <w:tcW w:w="1491" w:type="pct"/>
            <w:shd w:val="clear" w:color="auto" w:fill="EE266D"/>
          </w:tcPr>
          <w:p w14:paraId="59EE5120" w14:textId="407A91D8" w:rsidR="005E04D3" w:rsidRPr="00DB054F" w:rsidRDefault="005E04D3" w:rsidP="00C4220E">
            <w:pPr>
              <w:rPr>
                <w:b/>
                <w:bCs/>
                <w:color w:val="FFFFFF" w:themeColor="background1"/>
              </w:rPr>
            </w:pPr>
            <w:r>
              <w:rPr>
                <w:b/>
                <w:bCs/>
                <w:color w:val="FFFFFF" w:themeColor="background1"/>
              </w:rPr>
              <w:t>Priority area</w:t>
            </w:r>
          </w:p>
        </w:tc>
        <w:tc>
          <w:tcPr>
            <w:tcW w:w="629" w:type="pct"/>
            <w:shd w:val="clear" w:color="auto" w:fill="EE266D"/>
          </w:tcPr>
          <w:p w14:paraId="5B5B816B" w14:textId="74F2936A" w:rsidR="005E04D3" w:rsidRDefault="005E04D3" w:rsidP="00665676">
            <w:pPr>
              <w:rPr>
                <w:b/>
                <w:bCs/>
                <w:color w:val="FFFFFF" w:themeColor="background1"/>
              </w:rPr>
            </w:pPr>
            <w:r>
              <w:rPr>
                <w:b/>
                <w:bCs/>
                <w:color w:val="FFFFFF" w:themeColor="background1"/>
              </w:rPr>
              <w:t>Measure number</w:t>
            </w:r>
          </w:p>
        </w:tc>
        <w:tc>
          <w:tcPr>
            <w:tcW w:w="2880" w:type="pct"/>
            <w:shd w:val="clear" w:color="auto" w:fill="EE266D"/>
          </w:tcPr>
          <w:p w14:paraId="26AB2772" w14:textId="0BE4B4A6" w:rsidR="005E04D3" w:rsidRPr="00DB054F" w:rsidRDefault="005E04D3" w:rsidP="00C4220E">
            <w:pPr>
              <w:rPr>
                <w:b/>
                <w:bCs/>
                <w:color w:val="FFFFFF" w:themeColor="background1"/>
              </w:rPr>
            </w:pPr>
            <w:r>
              <w:rPr>
                <w:b/>
                <w:bCs/>
                <w:color w:val="FFFFFF" w:themeColor="background1"/>
              </w:rPr>
              <w:t>Measure description</w:t>
            </w:r>
          </w:p>
        </w:tc>
      </w:tr>
      <w:tr w:rsidR="00665676" w:rsidRPr="003E202F" w14:paraId="6DBCF496" w14:textId="77777777" w:rsidTr="00665676">
        <w:tc>
          <w:tcPr>
            <w:tcW w:w="1491" w:type="pct"/>
            <w:vMerge w:val="restart"/>
            <w:vAlign w:val="center"/>
          </w:tcPr>
          <w:p w14:paraId="78B7D22A" w14:textId="520BCC1C" w:rsidR="00665676" w:rsidRPr="00665676" w:rsidRDefault="00665676" w:rsidP="00665676">
            <w:r w:rsidRPr="00665676">
              <w:rPr>
                <w:rStyle w:val="normaltextrun"/>
                <w:rFonts w:cs="Segoe UI"/>
              </w:rPr>
              <w:t>Labour Market Inequality</w:t>
            </w:r>
          </w:p>
        </w:tc>
        <w:tc>
          <w:tcPr>
            <w:tcW w:w="629" w:type="pct"/>
            <w:vAlign w:val="center"/>
          </w:tcPr>
          <w:p w14:paraId="4AFBE49A" w14:textId="657553BB" w:rsidR="00665676" w:rsidRPr="00665676" w:rsidRDefault="00665676" w:rsidP="00665676">
            <w:pPr>
              <w:pStyle w:val="paragraph"/>
              <w:spacing w:before="0" w:beforeAutospacing="0" w:after="0" w:afterAutospacing="0"/>
              <w:jc w:val="center"/>
              <w:textAlignment w:val="baseline"/>
              <w:rPr>
                <w:rStyle w:val="normaltextrun"/>
                <w:rFonts w:ascii="Foundry Form Sans" w:hAnsi="Foundry Form Sans" w:cs="Segoe UI"/>
              </w:rPr>
            </w:pPr>
            <w:r w:rsidRPr="00665676">
              <w:rPr>
                <w:rStyle w:val="normaltextrun"/>
                <w:rFonts w:ascii="Foundry Form Sans" w:hAnsi="Foundry Form Sans" w:cs="Segoe UI"/>
              </w:rPr>
              <w:t>1</w:t>
            </w:r>
          </w:p>
        </w:tc>
        <w:tc>
          <w:tcPr>
            <w:tcW w:w="2880" w:type="pct"/>
          </w:tcPr>
          <w:p w14:paraId="3F069EFA" w14:textId="7592B91A" w:rsidR="006B348A" w:rsidRPr="005E04D3" w:rsidRDefault="00665676" w:rsidP="005E04D3">
            <w:pPr>
              <w:pStyle w:val="paragraph"/>
              <w:spacing w:before="0" w:beforeAutospacing="0" w:after="0" w:afterAutospacing="0"/>
              <w:textAlignment w:val="baseline"/>
              <w:rPr>
                <w:rFonts w:ascii="Foundry Form Sans" w:hAnsi="Foundry Form Sans" w:cs="Segoe UI"/>
              </w:rPr>
            </w:pPr>
            <w:r w:rsidRPr="00C62691">
              <w:rPr>
                <w:rStyle w:val="normaltextrun"/>
                <w:rFonts w:ascii="Foundry Form Sans" w:hAnsi="Foundry Form Sans" w:cs="Segoe UI"/>
              </w:rPr>
              <w:t>Narrowing Employment Gaps – Gender, Ethnicity, Disability</w:t>
            </w:r>
          </w:p>
        </w:tc>
      </w:tr>
      <w:tr w:rsidR="00665676" w:rsidRPr="003E202F" w14:paraId="22F093C5" w14:textId="77777777" w:rsidTr="00665676">
        <w:tc>
          <w:tcPr>
            <w:tcW w:w="1491" w:type="pct"/>
            <w:vMerge/>
            <w:vAlign w:val="center"/>
          </w:tcPr>
          <w:p w14:paraId="0500060C" w14:textId="7E3516E6" w:rsidR="00665676" w:rsidRPr="00665676" w:rsidRDefault="00665676" w:rsidP="00665676"/>
        </w:tc>
        <w:tc>
          <w:tcPr>
            <w:tcW w:w="629" w:type="pct"/>
            <w:vAlign w:val="center"/>
          </w:tcPr>
          <w:p w14:paraId="3F606F1D" w14:textId="611A0832" w:rsidR="00665676" w:rsidRPr="00665676" w:rsidRDefault="00665676" w:rsidP="00665676">
            <w:pPr>
              <w:jc w:val="center"/>
            </w:pPr>
            <w:r w:rsidRPr="00665676">
              <w:t>2</w:t>
            </w:r>
          </w:p>
        </w:tc>
        <w:tc>
          <w:tcPr>
            <w:tcW w:w="2880" w:type="pct"/>
          </w:tcPr>
          <w:p w14:paraId="6CF4AF08" w14:textId="6E435E32" w:rsidR="00665676" w:rsidRPr="005E04D3" w:rsidRDefault="00665676" w:rsidP="005E04D3">
            <w:pPr>
              <w:pStyle w:val="paragraph"/>
              <w:spacing w:before="0" w:beforeAutospacing="0" w:after="0" w:afterAutospacing="0"/>
              <w:textAlignment w:val="baseline"/>
              <w:rPr>
                <w:rFonts w:ascii="Foundry Form Sans" w:hAnsi="Foundry Form Sans" w:cs="Segoe UI"/>
              </w:rPr>
            </w:pPr>
            <w:r w:rsidRPr="00C62691">
              <w:rPr>
                <w:rStyle w:val="normaltextrun"/>
                <w:rFonts w:ascii="Foundry Form Sans" w:hAnsi="Foundry Form Sans" w:cs="Segoe UI"/>
              </w:rPr>
              <w:t>Narrowing Pay Gaps – Gender Pay Gap, Ethnicity Pay Gap, Disability Pay Gap</w:t>
            </w:r>
          </w:p>
        </w:tc>
      </w:tr>
      <w:tr w:rsidR="00665676" w:rsidRPr="003E202F" w14:paraId="664AD285" w14:textId="77777777" w:rsidTr="00665676">
        <w:tc>
          <w:tcPr>
            <w:tcW w:w="1491" w:type="pct"/>
            <w:vMerge w:val="restart"/>
            <w:vAlign w:val="center"/>
          </w:tcPr>
          <w:p w14:paraId="298B20DC" w14:textId="0CC635B6" w:rsidR="00665676" w:rsidRPr="00665676" w:rsidRDefault="00665676" w:rsidP="00665676">
            <w:pPr>
              <w:rPr>
                <w:rStyle w:val="normaltextrun"/>
                <w:rFonts w:cs="Segoe UI"/>
              </w:rPr>
            </w:pPr>
            <w:r w:rsidRPr="00665676">
              <w:rPr>
                <w:rStyle w:val="normaltextrun"/>
                <w:rFonts w:cs="Segoe UI"/>
              </w:rPr>
              <w:t>Financial Hardship and Living Standards</w:t>
            </w:r>
          </w:p>
        </w:tc>
        <w:tc>
          <w:tcPr>
            <w:tcW w:w="629" w:type="pct"/>
            <w:vAlign w:val="center"/>
          </w:tcPr>
          <w:p w14:paraId="597867CB" w14:textId="3EB94925" w:rsidR="00665676" w:rsidRPr="00665676" w:rsidRDefault="00665676" w:rsidP="00665676">
            <w:pPr>
              <w:jc w:val="center"/>
            </w:pPr>
            <w:r w:rsidRPr="00665676">
              <w:t>3</w:t>
            </w:r>
          </w:p>
        </w:tc>
        <w:tc>
          <w:tcPr>
            <w:tcW w:w="2880" w:type="pct"/>
          </w:tcPr>
          <w:p w14:paraId="7B32C8B5" w14:textId="092FA794" w:rsidR="00665676" w:rsidRPr="005E04D3" w:rsidRDefault="00665676" w:rsidP="005E04D3">
            <w:pPr>
              <w:pStyle w:val="paragraph"/>
              <w:spacing w:before="0" w:beforeAutospacing="0" w:after="0" w:afterAutospacing="0"/>
              <w:textAlignment w:val="baseline"/>
              <w:rPr>
                <w:rFonts w:ascii="Foundry Form Sans" w:hAnsi="Foundry Form Sans" w:cs="Segoe UI"/>
              </w:rPr>
            </w:pPr>
            <w:r w:rsidRPr="00C62691">
              <w:rPr>
                <w:rStyle w:val="normaltextrun"/>
                <w:rFonts w:ascii="Foundry Form Sans" w:hAnsi="Foundry Form Sans" w:cs="Segoe UI"/>
              </w:rPr>
              <w:t>Proportion of Londoners</w:t>
            </w:r>
            <w:r>
              <w:rPr>
                <w:rStyle w:val="normaltextrun"/>
                <w:rFonts w:ascii="Foundry Form Sans" w:hAnsi="Foundry Form Sans" w:cs="Segoe UI"/>
              </w:rPr>
              <w:t xml:space="preserve"> </w:t>
            </w:r>
            <w:r w:rsidRPr="00C62691">
              <w:rPr>
                <w:rStyle w:val="normaltextrun"/>
                <w:rFonts w:ascii="Foundry Form Sans" w:hAnsi="Foundry Form Sans" w:cs="Segoe UI"/>
              </w:rPr>
              <w:t xml:space="preserve">experiencing financial hardship (GLA </w:t>
            </w:r>
            <w:r w:rsidR="00563C76">
              <w:rPr>
                <w:rStyle w:val="normaltextrun"/>
                <w:rFonts w:ascii="Foundry Form Sans" w:hAnsi="Foundry Form Sans" w:cs="Segoe UI"/>
              </w:rPr>
              <w:t>p</w:t>
            </w:r>
            <w:r w:rsidRPr="00C62691">
              <w:rPr>
                <w:rStyle w:val="normaltextrun"/>
                <w:rFonts w:ascii="Foundry Form Sans" w:hAnsi="Foundry Form Sans" w:cs="Segoe UI"/>
              </w:rPr>
              <w:t>olling by YouGov)</w:t>
            </w:r>
          </w:p>
        </w:tc>
      </w:tr>
      <w:tr w:rsidR="00665676" w:rsidRPr="003E202F" w14:paraId="45928918" w14:textId="77777777" w:rsidTr="00665676">
        <w:tc>
          <w:tcPr>
            <w:tcW w:w="1491" w:type="pct"/>
            <w:vMerge/>
            <w:vAlign w:val="center"/>
          </w:tcPr>
          <w:p w14:paraId="2DC42127" w14:textId="673F4939" w:rsidR="00665676" w:rsidRPr="00665676" w:rsidRDefault="00665676" w:rsidP="00665676">
            <w:pPr>
              <w:rPr>
                <w:rStyle w:val="normaltextrun"/>
                <w:rFonts w:cs="Segoe UI"/>
              </w:rPr>
            </w:pPr>
          </w:p>
        </w:tc>
        <w:tc>
          <w:tcPr>
            <w:tcW w:w="629" w:type="pct"/>
            <w:vAlign w:val="center"/>
          </w:tcPr>
          <w:p w14:paraId="5838A02C" w14:textId="6537E841" w:rsidR="00665676" w:rsidRPr="00665676" w:rsidRDefault="00665676" w:rsidP="00665676">
            <w:pPr>
              <w:jc w:val="center"/>
            </w:pPr>
            <w:r w:rsidRPr="00665676">
              <w:t>4</w:t>
            </w:r>
          </w:p>
        </w:tc>
        <w:tc>
          <w:tcPr>
            <w:tcW w:w="2880" w:type="pct"/>
          </w:tcPr>
          <w:p w14:paraId="0F658B02" w14:textId="6505BAE8" w:rsidR="00665676" w:rsidRPr="005E04D3" w:rsidRDefault="00665676" w:rsidP="005E04D3">
            <w:pPr>
              <w:pStyle w:val="paragraph"/>
              <w:spacing w:before="0" w:beforeAutospacing="0" w:after="0" w:afterAutospacing="0"/>
              <w:textAlignment w:val="baseline"/>
              <w:rPr>
                <w:rFonts w:ascii="Foundry Form Sans" w:hAnsi="Foundry Form Sans" w:cs="Segoe UI"/>
              </w:rPr>
            </w:pPr>
            <w:r w:rsidRPr="00C62691">
              <w:rPr>
                <w:rStyle w:val="normaltextrun"/>
                <w:rFonts w:ascii="Foundry Form Sans" w:hAnsi="Foundry Form Sans" w:cs="Segoe UI"/>
              </w:rPr>
              <w:t>Economic Fairness Measures (living standards and population in poverty)</w:t>
            </w:r>
          </w:p>
        </w:tc>
      </w:tr>
      <w:tr w:rsidR="00665676" w:rsidRPr="003E202F" w14:paraId="4FD1DEF2" w14:textId="77777777" w:rsidTr="00665676">
        <w:tc>
          <w:tcPr>
            <w:tcW w:w="1491" w:type="pct"/>
            <w:vMerge w:val="restart"/>
            <w:vAlign w:val="center"/>
          </w:tcPr>
          <w:p w14:paraId="75DF2DE0" w14:textId="6953532F" w:rsidR="00665676" w:rsidRPr="00665676" w:rsidRDefault="00665676" w:rsidP="00665676">
            <w:pPr>
              <w:rPr>
                <w:rStyle w:val="normaltextrun"/>
                <w:rFonts w:cs="Segoe UI"/>
              </w:rPr>
            </w:pPr>
            <w:r w:rsidRPr="00665676">
              <w:rPr>
                <w:rStyle w:val="normaltextrun"/>
                <w:rFonts w:cs="Segoe UI"/>
              </w:rPr>
              <w:t>Equity in Public Services</w:t>
            </w:r>
          </w:p>
        </w:tc>
        <w:tc>
          <w:tcPr>
            <w:tcW w:w="629" w:type="pct"/>
            <w:vAlign w:val="center"/>
          </w:tcPr>
          <w:p w14:paraId="0DEFEA95" w14:textId="2CD60152" w:rsidR="00665676" w:rsidRPr="00665676" w:rsidRDefault="00665676" w:rsidP="00665676">
            <w:pPr>
              <w:jc w:val="center"/>
            </w:pPr>
            <w:r w:rsidRPr="00665676">
              <w:t>5</w:t>
            </w:r>
          </w:p>
        </w:tc>
        <w:tc>
          <w:tcPr>
            <w:tcW w:w="2880" w:type="pct"/>
          </w:tcPr>
          <w:p w14:paraId="48070183" w14:textId="68423CB6" w:rsidR="00665676" w:rsidRPr="005E04D3" w:rsidRDefault="00665676" w:rsidP="005E04D3">
            <w:pPr>
              <w:pStyle w:val="paragraph"/>
              <w:spacing w:before="0" w:beforeAutospacing="0" w:after="0" w:afterAutospacing="0"/>
              <w:textAlignment w:val="baseline"/>
              <w:rPr>
                <w:rFonts w:ascii="Foundry Form Sans" w:hAnsi="Foundry Form Sans" w:cs="Segoe UI"/>
              </w:rPr>
            </w:pPr>
            <w:r w:rsidRPr="00C62691">
              <w:rPr>
                <w:rStyle w:val="normaltextrun"/>
                <w:rFonts w:ascii="Foundry Form Sans" w:hAnsi="Foundry Form Sans" w:cs="Segoe UI"/>
              </w:rPr>
              <w:t>Institutional trust – State of London pollin</w:t>
            </w:r>
            <w:r>
              <w:rPr>
                <w:rStyle w:val="normaltextrun"/>
                <w:rFonts w:ascii="Foundry Form Sans" w:hAnsi="Foundry Form Sans" w:cs="Segoe UI"/>
              </w:rPr>
              <w:t>g</w:t>
            </w:r>
            <w:r w:rsidR="00563C76">
              <w:rPr>
                <w:rStyle w:val="normaltextrun"/>
                <w:rFonts w:ascii="Foundry Form Sans" w:hAnsi="Foundry Form Sans" w:cs="Segoe UI"/>
              </w:rPr>
              <w:t xml:space="preserve"> by YouGov</w:t>
            </w:r>
          </w:p>
        </w:tc>
      </w:tr>
      <w:tr w:rsidR="00665676" w:rsidRPr="003E202F" w14:paraId="2C0C4BB8" w14:textId="77777777" w:rsidTr="00665676">
        <w:tc>
          <w:tcPr>
            <w:tcW w:w="1491" w:type="pct"/>
            <w:vMerge/>
            <w:vAlign w:val="center"/>
          </w:tcPr>
          <w:p w14:paraId="2DD0C3B9" w14:textId="26521694" w:rsidR="00665676" w:rsidRPr="00665676" w:rsidRDefault="00665676" w:rsidP="00665676">
            <w:pPr>
              <w:rPr>
                <w:rStyle w:val="normaltextrun"/>
                <w:rFonts w:cs="Segoe UI"/>
              </w:rPr>
            </w:pPr>
          </w:p>
        </w:tc>
        <w:tc>
          <w:tcPr>
            <w:tcW w:w="629" w:type="pct"/>
            <w:vAlign w:val="center"/>
          </w:tcPr>
          <w:p w14:paraId="3CF16913" w14:textId="28FD7C5C" w:rsidR="00665676" w:rsidRPr="00665676" w:rsidRDefault="00665676" w:rsidP="00665676">
            <w:pPr>
              <w:jc w:val="center"/>
            </w:pPr>
            <w:r w:rsidRPr="00665676">
              <w:t>6</w:t>
            </w:r>
          </w:p>
        </w:tc>
        <w:tc>
          <w:tcPr>
            <w:tcW w:w="2880" w:type="pct"/>
          </w:tcPr>
          <w:p w14:paraId="1458C1B7" w14:textId="65106EB3" w:rsidR="00665676" w:rsidRPr="005E04D3" w:rsidRDefault="00665676" w:rsidP="005E04D3">
            <w:pPr>
              <w:pStyle w:val="paragraph"/>
              <w:spacing w:before="0" w:beforeAutospacing="0" w:after="0" w:afterAutospacing="0"/>
              <w:textAlignment w:val="baseline"/>
              <w:rPr>
                <w:rFonts w:ascii="Foundry Form Sans" w:hAnsi="Foundry Form Sans" w:cs="Segoe UI"/>
              </w:rPr>
            </w:pPr>
            <w:r w:rsidRPr="00C62691">
              <w:rPr>
                <w:rStyle w:val="normaltextrun"/>
                <w:rFonts w:ascii="Foundry Form Sans" w:hAnsi="Foundry Form Sans" w:cs="Segoe UI"/>
              </w:rPr>
              <w:t>Experience of unfair treatment (Survey of Londoners)</w:t>
            </w:r>
          </w:p>
        </w:tc>
      </w:tr>
      <w:tr w:rsidR="005E04D3" w:rsidRPr="003E202F" w14:paraId="4142696C" w14:textId="77777777" w:rsidTr="00665676">
        <w:tc>
          <w:tcPr>
            <w:tcW w:w="1491" w:type="pct"/>
            <w:vAlign w:val="center"/>
          </w:tcPr>
          <w:p w14:paraId="055EEFBF" w14:textId="58D2CBD2" w:rsidR="005E04D3" w:rsidRPr="00665676" w:rsidRDefault="005E04D3" w:rsidP="00665676">
            <w:pPr>
              <w:pStyle w:val="paragraph"/>
              <w:spacing w:before="0" w:beforeAutospacing="0" w:after="0" w:afterAutospacing="0"/>
              <w:textAlignment w:val="baseline"/>
              <w:rPr>
                <w:rStyle w:val="normaltextrun"/>
                <w:rFonts w:ascii="Foundry Form Sans" w:hAnsi="Foundry Form Sans" w:cs="Segoe UI"/>
              </w:rPr>
            </w:pPr>
            <w:r w:rsidRPr="00665676">
              <w:rPr>
                <w:rStyle w:val="normaltextrun"/>
                <w:rFonts w:ascii="Foundry Form Sans" w:hAnsi="Foundry Form Sans" w:cs="Segoe UI"/>
              </w:rPr>
              <w:t>Civil Society Strength</w:t>
            </w:r>
          </w:p>
        </w:tc>
        <w:tc>
          <w:tcPr>
            <w:tcW w:w="629" w:type="pct"/>
            <w:vAlign w:val="center"/>
          </w:tcPr>
          <w:p w14:paraId="2620226B" w14:textId="1F989989" w:rsidR="005E04D3" w:rsidRPr="00665676" w:rsidRDefault="005E04D3" w:rsidP="00665676">
            <w:pPr>
              <w:jc w:val="center"/>
            </w:pPr>
            <w:r w:rsidRPr="00665676">
              <w:t>7</w:t>
            </w:r>
          </w:p>
        </w:tc>
        <w:tc>
          <w:tcPr>
            <w:tcW w:w="2880" w:type="pct"/>
          </w:tcPr>
          <w:p w14:paraId="39D526E8" w14:textId="56751584" w:rsidR="00665676" w:rsidRPr="005E04D3" w:rsidRDefault="00255320" w:rsidP="005E04D3">
            <w:pPr>
              <w:pStyle w:val="paragraph"/>
              <w:spacing w:before="0" w:beforeAutospacing="0" w:after="0" w:afterAutospacing="0"/>
              <w:textAlignment w:val="baseline"/>
              <w:rPr>
                <w:rFonts w:ascii="Foundry Form Sans" w:hAnsi="Foundry Form Sans" w:cs="Segoe UI"/>
              </w:rPr>
            </w:pPr>
            <w:r w:rsidRPr="00255320">
              <w:rPr>
                <w:rStyle w:val="normaltextrun"/>
                <w:rFonts w:ascii="Foundry Form Sans" w:hAnsi="Foundry Form Sans" w:cs="Segoe UI"/>
              </w:rPr>
              <w:t>Value of grants awarded to charitable organisations</w:t>
            </w:r>
          </w:p>
        </w:tc>
      </w:tr>
    </w:tbl>
    <w:p w14:paraId="42A54900" w14:textId="77777777" w:rsidR="005E04D3" w:rsidRPr="00C62691" w:rsidRDefault="005E04D3" w:rsidP="005E04D3">
      <w:pPr>
        <w:pStyle w:val="paragraph"/>
        <w:spacing w:before="0" w:beforeAutospacing="0" w:after="0" w:afterAutospacing="0"/>
        <w:textAlignment w:val="baseline"/>
        <w:rPr>
          <w:rFonts w:ascii="Foundry Form Sans" w:hAnsi="Foundry Form Sans" w:cs="Segoe UI"/>
        </w:rPr>
      </w:pPr>
    </w:p>
    <w:p w14:paraId="51B11D7B" w14:textId="34CCD23B" w:rsidR="00AF7A4A" w:rsidRPr="000775B0" w:rsidRDefault="00AF7A4A" w:rsidP="000775B0">
      <w:pPr>
        <w:pStyle w:val="paragraph"/>
        <w:spacing w:before="0" w:beforeAutospacing="0" w:after="0" w:afterAutospacing="0"/>
        <w:textAlignment w:val="baseline"/>
        <w:rPr>
          <w:rStyle w:val="normaltextrun"/>
          <w:rFonts w:ascii="Segoe UI" w:hAnsi="Segoe UI" w:cs="Segoe UI"/>
          <w:sz w:val="18"/>
          <w:szCs w:val="18"/>
        </w:rPr>
      </w:pPr>
    </w:p>
    <w:p w14:paraId="4A3FEAA7" w14:textId="77777777" w:rsidR="00AF7A4A" w:rsidRPr="00AF7A4A" w:rsidRDefault="00AF7A4A" w:rsidP="00AF7A4A">
      <w:pPr>
        <w:pStyle w:val="paragraph"/>
        <w:spacing w:before="0" w:beforeAutospacing="0" w:after="0" w:afterAutospacing="0"/>
        <w:ind w:left="720" w:hanging="360"/>
        <w:textAlignment w:val="baseline"/>
        <w:rPr>
          <w:rStyle w:val="normaltextrun"/>
          <w:rFonts w:ascii="Foundry Form Sans" w:hAnsi="Foundry Form Sans" w:cs="Segoe UI"/>
        </w:rPr>
      </w:pPr>
    </w:p>
    <w:p w14:paraId="28B48B2B" w14:textId="77777777" w:rsidR="00AF7A4A" w:rsidRPr="00AF7A4A" w:rsidRDefault="00AF7A4A" w:rsidP="00AF7A4A">
      <w:pPr>
        <w:pStyle w:val="paragraph"/>
        <w:spacing w:before="0" w:beforeAutospacing="0" w:after="0" w:afterAutospacing="0"/>
        <w:ind w:left="720" w:hanging="360"/>
        <w:textAlignment w:val="baseline"/>
        <w:rPr>
          <w:rStyle w:val="normaltextrun"/>
          <w:rFonts w:ascii="Foundry Form Sans" w:hAnsi="Foundry Form Sans" w:cs="Segoe UI"/>
        </w:rPr>
      </w:pPr>
    </w:p>
    <w:p w14:paraId="059970C3" w14:textId="77777777" w:rsidR="00ED4D24" w:rsidRDefault="00ED4D24">
      <w:pPr>
        <w:rPr>
          <w:b/>
          <w:bCs/>
          <w:sz w:val="32"/>
          <w:szCs w:val="32"/>
        </w:rPr>
      </w:pPr>
      <w:r>
        <w:rPr>
          <w:b/>
          <w:bCs/>
          <w:sz w:val="32"/>
          <w:szCs w:val="32"/>
        </w:rPr>
        <w:br w:type="page"/>
      </w:r>
    </w:p>
    <w:p w14:paraId="64DC3483" w14:textId="2C1A3CC1" w:rsidR="00AF22A0" w:rsidRPr="00DB054F" w:rsidRDefault="00A87AB1" w:rsidP="00DB054F">
      <w:pPr>
        <w:jc w:val="center"/>
        <w:rPr>
          <w:b/>
          <w:bCs/>
          <w:sz w:val="32"/>
          <w:szCs w:val="32"/>
        </w:rPr>
      </w:pPr>
      <w:r w:rsidRPr="00DB054F">
        <w:rPr>
          <w:b/>
          <w:bCs/>
          <w:sz w:val="32"/>
          <w:szCs w:val="32"/>
        </w:rPr>
        <w:lastRenderedPageBreak/>
        <w:t>Labour Market Inequality</w:t>
      </w:r>
    </w:p>
    <w:p w14:paraId="45959C65" w14:textId="179DA709" w:rsidR="00A87AB1" w:rsidRDefault="00A87AB1" w:rsidP="00AF22A0"/>
    <w:tbl>
      <w:tblPr>
        <w:tblStyle w:val="TableGrid"/>
        <w:tblW w:w="5000" w:type="pct"/>
        <w:tblLayout w:type="fixed"/>
        <w:tblLook w:val="04A0" w:firstRow="1" w:lastRow="0" w:firstColumn="1" w:lastColumn="0" w:noHBand="0" w:noVBand="1"/>
      </w:tblPr>
      <w:tblGrid>
        <w:gridCol w:w="1129"/>
        <w:gridCol w:w="4537"/>
        <w:gridCol w:w="3350"/>
      </w:tblGrid>
      <w:tr w:rsidR="00F12744" w:rsidRPr="003E202F" w14:paraId="0679D389" w14:textId="77777777" w:rsidTr="00F12744">
        <w:tc>
          <w:tcPr>
            <w:tcW w:w="626" w:type="pct"/>
            <w:shd w:val="clear" w:color="auto" w:fill="EE266D"/>
          </w:tcPr>
          <w:p w14:paraId="5755849A" w14:textId="4839682C" w:rsidR="00F12744" w:rsidRPr="00DB054F" w:rsidRDefault="00F12744" w:rsidP="00563C76">
            <w:pPr>
              <w:rPr>
                <w:b/>
                <w:bCs/>
                <w:color w:val="FFFFFF" w:themeColor="background1"/>
              </w:rPr>
            </w:pPr>
            <w:r>
              <w:rPr>
                <w:b/>
                <w:bCs/>
                <w:color w:val="FFFFFF" w:themeColor="background1"/>
              </w:rPr>
              <w:t>Measure number</w:t>
            </w:r>
          </w:p>
        </w:tc>
        <w:tc>
          <w:tcPr>
            <w:tcW w:w="2516" w:type="pct"/>
            <w:shd w:val="clear" w:color="auto" w:fill="EE266D"/>
          </w:tcPr>
          <w:p w14:paraId="06CCF02D" w14:textId="050DAC1C" w:rsidR="00F12744" w:rsidRPr="00DB054F" w:rsidRDefault="00F12744" w:rsidP="00563C76">
            <w:pPr>
              <w:rPr>
                <w:b/>
                <w:bCs/>
                <w:color w:val="FFFFFF" w:themeColor="background1"/>
              </w:rPr>
            </w:pPr>
            <w:r>
              <w:rPr>
                <w:b/>
                <w:bCs/>
                <w:color w:val="FFFFFF" w:themeColor="background1"/>
              </w:rPr>
              <w:t>Measure description</w:t>
            </w:r>
          </w:p>
        </w:tc>
        <w:tc>
          <w:tcPr>
            <w:tcW w:w="1858" w:type="pct"/>
            <w:shd w:val="clear" w:color="auto" w:fill="EE266D"/>
          </w:tcPr>
          <w:p w14:paraId="0629A3B4" w14:textId="115D5B3B" w:rsidR="00F12744" w:rsidRPr="00DB054F" w:rsidRDefault="00F12744" w:rsidP="00563C76">
            <w:pPr>
              <w:rPr>
                <w:b/>
                <w:bCs/>
                <w:color w:val="FFFFFF" w:themeColor="background1"/>
              </w:rPr>
            </w:pPr>
            <w:r>
              <w:rPr>
                <w:b/>
                <w:bCs/>
                <w:color w:val="FFFFFF" w:themeColor="background1"/>
              </w:rPr>
              <w:t>Source</w:t>
            </w:r>
          </w:p>
        </w:tc>
      </w:tr>
      <w:tr w:rsidR="00F12744" w:rsidRPr="003E202F" w14:paraId="67B2EC9B" w14:textId="77777777" w:rsidTr="000D2423">
        <w:tc>
          <w:tcPr>
            <w:tcW w:w="626" w:type="pct"/>
            <w:vMerge w:val="restart"/>
            <w:vAlign w:val="center"/>
          </w:tcPr>
          <w:p w14:paraId="3F505745" w14:textId="16CC3E1C" w:rsidR="00F12744" w:rsidRPr="003E202F" w:rsidRDefault="00F12744" w:rsidP="000D2423">
            <w:r>
              <w:t>1a</w:t>
            </w:r>
          </w:p>
        </w:tc>
        <w:tc>
          <w:tcPr>
            <w:tcW w:w="2516" w:type="pct"/>
          </w:tcPr>
          <w:p w14:paraId="6C6B1C82" w14:textId="77777777" w:rsidR="00F12744" w:rsidRPr="000471F1" w:rsidRDefault="00F12744" w:rsidP="00AD0BF6">
            <w:pPr>
              <w:rPr>
                <w:b/>
                <w:bCs/>
              </w:rPr>
            </w:pPr>
            <w:r w:rsidRPr="000471F1">
              <w:rPr>
                <w:b/>
                <w:bCs/>
              </w:rPr>
              <w:t>Gender employment gap:</w:t>
            </w:r>
          </w:p>
          <w:p w14:paraId="0830CDEF" w14:textId="344906C2" w:rsidR="00F12744" w:rsidRPr="000471F1" w:rsidRDefault="00F12744" w:rsidP="00AD0BF6">
            <w:r w:rsidRPr="000471F1">
              <w:t>Employment rate of Females in London vs Males in London</w:t>
            </w:r>
            <w:r w:rsidR="00D03C2A">
              <w:t xml:space="preserve"> (age 16-64)</w:t>
            </w:r>
          </w:p>
        </w:tc>
        <w:tc>
          <w:tcPr>
            <w:tcW w:w="1858" w:type="pct"/>
          </w:tcPr>
          <w:p w14:paraId="16341915" w14:textId="23546B38" w:rsidR="00F12744" w:rsidRPr="000471F1" w:rsidRDefault="00F77F5C" w:rsidP="00AD0BF6">
            <w:hyperlink r:id="rId12" w:history="1">
              <w:r w:rsidR="00F12744" w:rsidRPr="006B348A">
                <w:rPr>
                  <w:rStyle w:val="Hyperlink"/>
                </w:rPr>
                <w:t>Annual Population Survey (APS)</w:t>
              </w:r>
            </w:hyperlink>
          </w:p>
        </w:tc>
      </w:tr>
      <w:tr w:rsidR="00F12744" w:rsidRPr="003E202F" w14:paraId="2AA6AE63" w14:textId="77777777" w:rsidTr="00F12744">
        <w:tc>
          <w:tcPr>
            <w:tcW w:w="626" w:type="pct"/>
            <w:vMerge/>
          </w:tcPr>
          <w:p w14:paraId="392E1C18" w14:textId="62D87E8E" w:rsidR="00F12744" w:rsidRDefault="00F12744" w:rsidP="00AD0BF6"/>
        </w:tc>
        <w:tc>
          <w:tcPr>
            <w:tcW w:w="4374" w:type="pct"/>
            <w:gridSpan w:val="2"/>
          </w:tcPr>
          <w:p w14:paraId="284E79C8" w14:textId="77777777" w:rsidR="00F12744" w:rsidRDefault="00F12744" w:rsidP="00AD0BF6"/>
          <w:tbl>
            <w:tblPr>
              <w:tblW w:w="5980" w:type="dxa"/>
              <w:tblLayout w:type="fixed"/>
              <w:tblLook w:val="04A0" w:firstRow="1" w:lastRow="0" w:firstColumn="1" w:lastColumn="0" w:noHBand="0" w:noVBand="1"/>
            </w:tblPr>
            <w:tblGrid>
              <w:gridCol w:w="740"/>
              <w:gridCol w:w="1586"/>
              <w:gridCol w:w="1811"/>
              <w:gridCol w:w="1843"/>
            </w:tblGrid>
            <w:tr w:rsidR="00F12744" w:rsidRPr="008B21FC" w14:paraId="0F7C8DB6" w14:textId="77777777" w:rsidTr="00F12744">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C66D1" w14:textId="77777777" w:rsidR="00F12744" w:rsidRPr="008B21FC" w:rsidRDefault="00F12744" w:rsidP="008B21FC">
                  <w:pPr>
                    <w:rPr>
                      <w:rFonts w:ascii="Calibri" w:hAnsi="Calibri" w:cs="Calibri"/>
                      <w:color w:val="000000"/>
                      <w:sz w:val="22"/>
                      <w:szCs w:val="22"/>
                      <w:lang w:eastAsia="en-GB"/>
                    </w:rPr>
                  </w:pPr>
                  <w:r w:rsidRPr="008B21FC">
                    <w:rPr>
                      <w:rFonts w:ascii="Calibri" w:hAnsi="Calibri" w:cs="Calibri"/>
                      <w:color w:val="000000"/>
                      <w:sz w:val="22"/>
                      <w:szCs w:val="22"/>
                      <w:lang w:eastAsia="en-GB"/>
                    </w:rPr>
                    <w:t> </w:t>
                  </w:r>
                </w:p>
              </w:tc>
              <w:tc>
                <w:tcPr>
                  <w:tcW w:w="5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6122B0" w14:textId="77777777" w:rsidR="00F12744" w:rsidRPr="008B21FC" w:rsidRDefault="00F12744" w:rsidP="008B21FC">
                  <w:pPr>
                    <w:jc w:val="center"/>
                    <w:rPr>
                      <w:rFonts w:ascii="Calibri" w:hAnsi="Calibri" w:cs="Calibri"/>
                      <w:b/>
                      <w:bCs/>
                      <w:color w:val="000000"/>
                      <w:sz w:val="22"/>
                      <w:szCs w:val="22"/>
                      <w:lang w:eastAsia="en-GB"/>
                    </w:rPr>
                  </w:pPr>
                  <w:r w:rsidRPr="008B21FC">
                    <w:rPr>
                      <w:rFonts w:ascii="Calibri" w:hAnsi="Calibri" w:cs="Calibri"/>
                      <w:b/>
                      <w:bCs/>
                      <w:color w:val="000000"/>
                      <w:sz w:val="22"/>
                      <w:szCs w:val="22"/>
                      <w:lang w:eastAsia="en-GB"/>
                    </w:rPr>
                    <w:t>London</w:t>
                  </w:r>
                </w:p>
              </w:tc>
            </w:tr>
            <w:tr w:rsidR="00F12744" w:rsidRPr="008B21FC" w14:paraId="401DBCD0" w14:textId="77777777" w:rsidTr="00F12744">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8553571" w14:textId="77777777" w:rsidR="00F12744" w:rsidRPr="008B21FC" w:rsidRDefault="00F12744" w:rsidP="008B21FC">
                  <w:pPr>
                    <w:rPr>
                      <w:rFonts w:ascii="Arial" w:hAnsi="Arial" w:cs="Arial"/>
                      <w:b/>
                      <w:bCs/>
                      <w:sz w:val="20"/>
                      <w:szCs w:val="20"/>
                      <w:lang w:eastAsia="en-GB"/>
                    </w:rPr>
                  </w:pPr>
                  <w:r w:rsidRPr="008B21FC">
                    <w:rPr>
                      <w:rFonts w:ascii="Arial" w:hAnsi="Arial" w:cs="Arial"/>
                      <w:b/>
                      <w:bCs/>
                      <w:sz w:val="20"/>
                      <w:szCs w:val="20"/>
                      <w:lang w:eastAsia="en-GB"/>
                    </w:rPr>
                    <w:t>Year</w:t>
                  </w:r>
                </w:p>
              </w:tc>
              <w:tc>
                <w:tcPr>
                  <w:tcW w:w="1586" w:type="dxa"/>
                  <w:tcBorders>
                    <w:top w:val="nil"/>
                    <w:left w:val="nil"/>
                    <w:bottom w:val="single" w:sz="4" w:space="0" w:color="auto"/>
                    <w:right w:val="single" w:sz="4" w:space="0" w:color="auto"/>
                  </w:tcBorders>
                  <w:shd w:val="clear" w:color="auto" w:fill="auto"/>
                  <w:vAlign w:val="center"/>
                  <w:hideMark/>
                </w:tcPr>
                <w:p w14:paraId="37EFFDFA" w14:textId="0DBD437C" w:rsidR="00F12744" w:rsidRPr="008B21FC" w:rsidRDefault="00F12744" w:rsidP="008B21FC">
                  <w:pPr>
                    <w:rPr>
                      <w:rFonts w:ascii="Arial" w:hAnsi="Arial" w:cs="Arial"/>
                      <w:b/>
                      <w:bCs/>
                      <w:sz w:val="20"/>
                      <w:szCs w:val="20"/>
                      <w:lang w:eastAsia="en-GB"/>
                    </w:rPr>
                  </w:pPr>
                  <w:r w:rsidRPr="008B21FC">
                    <w:rPr>
                      <w:rFonts w:ascii="Arial" w:hAnsi="Arial" w:cs="Arial"/>
                      <w:b/>
                      <w:bCs/>
                      <w:sz w:val="20"/>
                      <w:szCs w:val="20"/>
                      <w:lang w:eastAsia="en-GB"/>
                    </w:rPr>
                    <w:t>Employment rate males</w:t>
                  </w:r>
                  <w:r>
                    <w:rPr>
                      <w:rFonts w:ascii="Arial" w:hAnsi="Arial" w:cs="Arial"/>
                      <w:b/>
                      <w:bCs/>
                      <w:sz w:val="20"/>
                      <w:szCs w:val="20"/>
                      <w:lang w:eastAsia="en-GB"/>
                    </w:rPr>
                    <w:t xml:space="preserve"> (%)</w:t>
                  </w:r>
                </w:p>
              </w:tc>
              <w:tc>
                <w:tcPr>
                  <w:tcW w:w="1811" w:type="dxa"/>
                  <w:tcBorders>
                    <w:top w:val="nil"/>
                    <w:left w:val="nil"/>
                    <w:bottom w:val="single" w:sz="4" w:space="0" w:color="auto"/>
                    <w:right w:val="single" w:sz="4" w:space="0" w:color="auto"/>
                  </w:tcBorders>
                  <w:shd w:val="clear" w:color="auto" w:fill="auto"/>
                  <w:vAlign w:val="center"/>
                  <w:hideMark/>
                </w:tcPr>
                <w:p w14:paraId="0CEF3611" w14:textId="41C592FD" w:rsidR="00F12744" w:rsidRPr="008B21FC" w:rsidRDefault="00F12744" w:rsidP="008B21FC">
                  <w:pPr>
                    <w:rPr>
                      <w:rFonts w:ascii="Arial" w:hAnsi="Arial" w:cs="Arial"/>
                      <w:b/>
                      <w:bCs/>
                      <w:sz w:val="20"/>
                      <w:szCs w:val="20"/>
                      <w:lang w:eastAsia="en-GB"/>
                    </w:rPr>
                  </w:pPr>
                  <w:r w:rsidRPr="008B21FC">
                    <w:rPr>
                      <w:rFonts w:ascii="Arial" w:hAnsi="Arial" w:cs="Arial"/>
                      <w:b/>
                      <w:bCs/>
                      <w:sz w:val="20"/>
                      <w:szCs w:val="20"/>
                      <w:lang w:eastAsia="en-GB"/>
                    </w:rPr>
                    <w:t>Employment rate females</w:t>
                  </w:r>
                  <w:r>
                    <w:rPr>
                      <w:rFonts w:ascii="Arial" w:hAnsi="Arial" w:cs="Arial"/>
                      <w:b/>
                      <w:bCs/>
                      <w:sz w:val="20"/>
                      <w:szCs w:val="20"/>
                      <w:lang w:eastAsia="en-GB"/>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FF9E046" w14:textId="77777777" w:rsidR="00F12744" w:rsidRPr="008B21FC" w:rsidRDefault="00F12744" w:rsidP="008B21FC">
                  <w:pPr>
                    <w:rPr>
                      <w:rFonts w:ascii="Arial" w:hAnsi="Arial" w:cs="Arial"/>
                      <w:b/>
                      <w:bCs/>
                      <w:sz w:val="20"/>
                      <w:szCs w:val="20"/>
                      <w:lang w:eastAsia="en-GB"/>
                    </w:rPr>
                  </w:pPr>
                  <w:r w:rsidRPr="008B21FC">
                    <w:rPr>
                      <w:rFonts w:ascii="Arial" w:hAnsi="Arial" w:cs="Arial"/>
                      <w:b/>
                      <w:bCs/>
                      <w:sz w:val="20"/>
                      <w:szCs w:val="20"/>
                      <w:lang w:eastAsia="en-GB"/>
                    </w:rPr>
                    <w:t>Female employment gap</w:t>
                  </w:r>
                </w:p>
              </w:tc>
            </w:tr>
            <w:tr w:rsidR="00F12744" w:rsidRPr="008B21FC" w14:paraId="0EEAA2F7" w14:textId="77777777" w:rsidTr="00D03C2A">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FE15A2B" w14:textId="77777777" w:rsidR="00F12744" w:rsidRPr="008B21FC" w:rsidRDefault="00F12744" w:rsidP="008B21FC">
                  <w:pPr>
                    <w:rPr>
                      <w:rFonts w:ascii="Arial" w:hAnsi="Arial" w:cs="Arial"/>
                      <w:sz w:val="20"/>
                      <w:szCs w:val="20"/>
                      <w:lang w:eastAsia="en-GB"/>
                    </w:rPr>
                  </w:pPr>
                  <w:r w:rsidRPr="008B21FC">
                    <w:rPr>
                      <w:rFonts w:ascii="Arial" w:hAnsi="Arial" w:cs="Arial"/>
                      <w:sz w:val="20"/>
                      <w:szCs w:val="20"/>
                      <w:lang w:eastAsia="en-GB"/>
                    </w:rPr>
                    <w:t>2020</w:t>
                  </w:r>
                </w:p>
              </w:tc>
              <w:tc>
                <w:tcPr>
                  <w:tcW w:w="1586" w:type="dxa"/>
                  <w:tcBorders>
                    <w:top w:val="nil"/>
                    <w:left w:val="nil"/>
                    <w:bottom w:val="single" w:sz="4" w:space="0" w:color="auto"/>
                    <w:right w:val="single" w:sz="4" w:space="0" w:color="auto"/>
                  </w:tcBorders>
                  <w:shd w:val="clear" w:color="auto" w:fill="auto"/>
                  <w:noWrap/>
                  <w:vAlign w:val="center"/>
                  <w:hideMark/>
                </w:tcPr>
                <w:p w14:paraId="134CFEF6" w14:textId="0E8A66D6" w:rsidR="00F12744" w:rsidRPr="008B21FC" w:rsidRDefault="00F12744" w:rsidP="00D03C2A">
                  <w:pPr>
                    <w:jc w:val="right"/>
                    <w:rPr>
                      <w:rFonts w:ascii="Arial" w:hAnsi="Arial" w:cs="Arial"/>
                      <w:sz w:val="20"/>
                      <w:szCs w:val="20"/>
                      <w:lang w:eastAsia="en-GB"/>
                    </w:rPr>
                  </w:pPr>
                  <w:r w:rsidRPr="008B21FC">
                    <w:rPr>
                      <w:rFonts w:ascii="Arial" w:hAnsi="Arial" w:cs="Arial"/>
                      <w:sz w:val="20"/>
                      <w:szCs w:val="20"/>
                      <w:lang w:eastAsia="en-GB"/>
                    </w:rPr>
                    <w:t>78.</w:t>
                  </w:r>
                  <w:r w:rsidR="00D03C2A">
                    <w:rPr>
                      <w:rFonts w:ascii="Arial" w:hAnsi="Arial" w:cs="Arial"/>
                      <w:sz w:val="20"/>
                      <w:szCs w:val="20"/>
                      <w:lang w:eastAsia="en-GB"/>
                    </w:rPr>
                    <w:t>8</w:t>
                  </w:r>
                </w:p>
              </w:tc>
              <w:tc>
                <w:tcPr>
                  <w:tcW w:w="1811" w:type="dxa"/>
                  <w:tcBorders>
                    <w:top w:val="nil"/>
                    <w:left w:val="nil"/>
                    <w:bottom w:val="single" w:sz="4" w:space="0" w:color="auto"/>
                    <w:right w:val="single" w:sz="4" w:space="0" w:color="auto"/>
                  </w:tcBorders>
                  <w:shd w:val="clear" w:color="auto" w:fill="auto"/>
                  <w:noWrap/>
                  <w:vAlign w:val="center"/>
                  <w:hideMark/>
                </w:tcPr>
                <w:p w14:paraId="0BDDE6F5" w14:textId="71A4E52A" w:rsidR="00F12744" w:rsidRPr="008B21FC" w:rsidRDefault="00F12744" w:rsidP="00D03C2A">
                  <w:pPr>
                    <w:jc w:val="right"/>
                    <w:rPr>
                      <w:rFonts w:ascii="Arial" w:hAnsi="Arial" w:cs="Arial"/>
                      <w:sz w:val="20"/>
                      <w:szCs w:val="20"/>
                      <w:lang w:eastAsia="en-GB"/>
                    </w:rPr>
                  </w:pPr>
                  <w:r w:rsidRPr="008B21FC">
                    <w:rPr>
                      <w:rFonts w:ascii="Arial" w:hAnsi="Arial" w:cs="Arial"/>
                      <w:sz w:val="20"/>
                      <w:szCs w:val="20"/>
                      <w:lang w:eastAsia="en-GB"/>
                    </w:rPr>
                    <w:t>71.</w:t>
                  </w:r>
                  <w:r w:rsidR="00D03C2A">
                    <w:rPr>
                      <w:rFonts w:ascii="Arial" w:hAnsi="Arial" w:cs="Arial"/>
                      <w:sz w:val="20"/>
                      <w:szCs w:val="20"/>
                      <w:lang w:eastAsia="en-GB"/>
                    </w:rPr>
                    <w:t>5</w:t>
                  </w:r>
                </w:p>
              </w:tc>
              <w:tc>
                <w:tcPr>
                  <w:tcW w:w="1843" w:type="dxa"/>
                  <w:tcBorders>
                    <w:top w:val="nil"/>
                    <w:left w:val="nil"/>
                    <w:bottom w:val="single" w:sz="4" w:space="0" w:color="auto"/>
                    <w:right w:val="single" w:sz="4" w:space="0" w:color="auto"/>
                  </w:tcBorders>
                  <w:shd w:val="clear" w:color="auto" w:fill="auto"/>
                  <w:noWrap/>
                  <w:vAlign w:val="center"/>
                  <w:hideMark/>
                </w:tcPr>
                <w:p w14:paraId="5AF1F256" w14:textId="78BA6E8F" w:rsidR="00F12744" w:rsidRPr="008B21FC" w:rsidRDefault="00F12744" w:rsidP="00D03C2A">
                  <w:pPr>
                    <w:jc w:val="right"/>
                    <w:rPr>
                      <w:rFonts w:ascii="Calibri" w:hAnsi="Calibri" w:cs="Calibri"/>
                      <w:color w:val="000000"/>
                      <w:sz w:val="22"/>
                      <w:szCs w:val="22"/>
                      <w:lang w:eastAsia="en-GB"/>
                    </w:rPr>
                  </w:pPr>
                  <w:r w:rsidRPr="008B21FC">
                    <w:rPr>
                      <w:rFonts w:ascii="Calibri" w:hAnsi="Calibri" w:cs="Calibri"/>
                      <w:color w:val="000000"/>
                      <w:sz w:val="22"/>
                      <w:szCs w:val="22"/>
                      <w:lang w:eastAsia="en-GB"/>
                    </w:rPr>
                    <w:t>-7.</w:t>
                  </w:r>
                  <w:r w:rsidR="00D03C2A">
                    <w:rPr>
                      <w:rFonts w:ascii="Calibri" w:hAnsi="Calibri" w:cs="Calibri"/>
                      <w:color w:val="000000"/>
                      <w:sz w:val="22"/>
                      <w:szCs w:val="22"/>
                      <w:lang w:eastAsia="en-GB"/>
                    </w:rPr>
                    <w:t>3</w:t>
                  </w:r>
                </w:p>
              </w:tc>
            </w:tr>
            <w:tr w:rsidR="00F12744" w:rsidRPr="00D03C2A" w14:paraId="5699AF97" w14:textId="77777777" w:rsidTr="00D03C2A">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896A" w14:textId="77777777" w:rsidR="00F12744" w:rsidRPr="008B21FC" w:rsidRDefault="00F12744" w:rsidP="008B21FC">
                  <w:pPr>
                    <w:rPr>
                      <w:rFonts w:ascii="Arial" w:hAnsi="Arial" w:cs="Arial"/>
                      <w:sz w:val="20"/>
                      <w:szCs w:val="20"/>
                      <w:lang w:eastAsia="en-GB"/>
                    </w:rPr>
                  </w:pPr>
                  <w:r w:rsidRPr="008B21FC">
                    <w:rPr>
                      <w:rFonts w:ascii="Arial" w:hAnsi="Arial" w:cs="Arial"/>
                      <w:sz w:val="20"/>
                      <w:szCs w:val="20"/>
                      <w:lang w:eastAsia="en-GB"/>
                    </w:rPr>
                    <w:t>2021</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29F67D61" w14:textId="5218D6CF" w:rsidR="00F12744" w:rsidRPr="008B21FC" w:rsidRDefault="00F12744" w:rsidP="00D03C2A">
                  <w:pPr>
                    <w:jc w:val="right"/>
                    <w:rPr>
                      <w:rFonts w:ascii="Arial" w:hAnsi="Arial" w:cs="Arial"/>
                      <w:sz w:val="20"/>
                      <w:szCs w:val="20"/>
                      <w:lang w:eastAsia="en-GB"/>
                    </w:rPr>
                  </w:pPr>
                  <w:r w:rsidRPr="008B21FC">
                    <w:rPr>
                      <w:rFonts w:ascii="Arial" w:hAnsi="Arial" w:cs="Arial"/>
                      <w:sz w:val="20"/>
                      <w:szCs w:val="20"/>
                      <w:lang w:eastAsia="en-GB"/>
                    </w:rPr>
                    <w:t>78.</w:t>
                  </w:r>
                  <w:r w:rsidR="00D03C2A">
                    <w:rPr>
                      <w:rFonts w:ascii="Arial" w:hAnsi="Arial" w:cs="Arial"/>
                      <w:sz w:val="20"/>
                      <w:szCs w:val="20"/>
                      <w:lang w:eastAsia="en-GB"/>
                    </w:rPr>
                    <w:t>7</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7034ABDB" w14:textId="1F083F35" w:rsidR="00F12744" w:rsidRPr="008B21FC" w:rsidRDefault="00F12744" w:rsidP="00D03C2A">
                  <w:pPr>
                    <w:jc w:val="right"/>
                    <w:rPr>
                      <w:rFonts w:ascii="Arial" w:hAnsi="Arial" w:cs="Arial"/>
                      <w:sz w:val="20"/>
                      <w:szCs w:val="20"/>
                      <w:lang w:eastAsia="en-GB"/>
                    </w:rPr>
                  </w:pPr>
                  <w:r w:rsidRPr="008B21FC">
                    <w:rPr>
                      <w:rFonts w:ascii="Arial" w:hAnsi="Arial" w:cs="Arial"/>
                      <w:sz w:val="20"/>
                      <w:szCs w:val="20"/>
                      <w:lang w:eastAsia="en-GB"/>
                    </w:rPr>
                    <w:t>7</w:t>
                  </w:r>
                  <w:r w:rsidR="00D03C2A">
                    <w:rPr>
                      <w:rFonts w:ascii="Arial" w:hAnsi="Arial" w:cs="Arial"/>
                      <w:sz w:val="20"/>
                      <w:szCs w:val="20"/>
                      <w:lang w:eastAsia="en-GB"/>
                    </w:rPr>
                    <w:t>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FB1E48D" w14:textId="77777777" w:rsidR="00F12744" w:rsidRPr="00D03C2A" w:rsidRDefault="00F12744" w:rsidP="00D03C2A">
                  <w:pPr>
                    <w:jc w:val="right"/>
                    <w:rPr>
                      <w:rFonts w:ascii="Arial" w:hAnsi="Arial" w:cs="Arial"/>
                      <w:sz w:val="20"/>
                      <w:szCs w:val="20"/>
                      <w:lang w:eastAsia="en-GB"/>
                    </w:rPr>
                  </w:pPr>
                  <w:r w:rsidRPr="00D03C2A">
                    <w:rPr>
                      <w:rFonts w:ascii="Arial" w:hAnsi="Arial" w:cs="Arial"/>
                      <w:sz w:val="20"/>
                      <w:szCs w:val="20"/>
                      <w:lang w:eastAsia="en-GB"/>
                    </w:rPr>
                    <w:t>-7.7</w:t>
                  </w:r>
                </w:p>
              </w:tc>
            </w:tr>
            <w:tr w:rsidR="00D03C2A" w:rsidRPr="008B21FC" w14:paraId="0234259C" w14:textId="77777777" w:rsidTr="00D03C2A">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5BF8" w14:textId="4C9FFEF3" w:rsidR="00D03C2A" w:rsidRPr="008B21FC" w:rsidRDefault="00D03C2A" w:rsidP="008B21FC">
                  <w:pPr>
                    <w:rPr>
                      <w:rFonts w:ascii="Arial" w:hAnsi="Arial" w:cs="Arial"/>
                      <w:sz w:val="20"/>
                      <w:szCs w:val="20"/>
                      <w:lang w:eastAsia="en-GB"/>
                    </w:rPr>
                  </w:pPr>
                  <w:r>
                    <w:rPr>
                      <w:rFonts w:ascii="Arial" w:hAnsi="Arial" w:cs="Arial"/>
                      <w:sz w:val="20"/>
                      <w:szCs w:val="20"/>
                      <w:lang w:eastAsia="en-GB"/>
                    </w:rPr>
                    <w:t>2022</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06B1F0B2" w14:textId="09C95488" w:rsidR="00D03C2A" w:rsidRPr="008B21FC" w:rsidRDefault="00D03C2A" w:rsidP="00D03C2A">
                  <w:pPr>
                    <w:jc w:val="right"/>
                    <w:rPr>
                      <w:rFonts w:ascii="Arial" w:hAnsi="Arial" w:cs="Arial"/>
                      <w:sz w:val="20"/>
                      <w:szCs w:val="20"/>
                      <w:lang w:eastAsia="en-GB"/>
                    </w:rPr>
                  </w:pPr>
                  <w:r>
                    <w:rPr>
                      <w:rFonts w:ascii="Arial" w:hAnsi="Arial" w:cs="Arial"/>
                      <w:sz w:val="20"/>
                      <w:szCs w:val="20"/>
                      <w:lang w:eastAsia="en-GB"/>
                    </w:rPr>
                    <w:t>80.8</w:t>
                  </w:r>
                </w:p>
              </w:tc>
              <w:tc>
                <w:tcPr>
                  <w:tcW w:w="1811" w:type="dxa"/>
                  <w:tcBorders>
                    <w:top w:val="single" w:sz="4" w:space="0" w:color="auto"/>
                    <w:left w:val="nil"/>
                    <w:bottom w:val="single" w:sz="4" w:space="0" w:color="auto"/>
                    <w:right w:val="single" w:sz="4" w:space="0" w:color="auto"/>
                  </w:tcBorders>
                  <w:shd w:val="clear" w:color="auto" w:fill="auto"/>
                  <w:noWrap/>
                  <w:vAlign w:val="center"/>
                </w:tcPr>
                <w:p w14:paraId="736B8798" w14:textId="3757CB42" w:rsidR="00D03C2A" w:rsidRPr="008B21FC" w:rsidRDefault="00D03C2A" w:rsidP="00D03C2A">
                  <w:pPr>
                    <w:jc w:val="right"/>
                    <w:rPr>
                      <w:rFonts w:ascii="Arial" w:hAnsi="Arial" w:cs="Arial"/>
                      <w:sz w:val="20"/>
                      <w:szCs w:val="20"/>
                      <w:lang w:eastAsia="en-GB"/>
                    </w:rPr>
                  </w:pPr>
                  <w:r>
                    <w:rPr>
                      <w:rFonts w:ascii="Arial" w:hAnsi="Arial" w:cs="Arial"/>
                      <w:sz w:val="20"/>
                      <w:szCs w:val="20"/>
                      <w:lang w:eastAsia="en-GB"/>
                    </w:rPr>
                    <w:t>71.5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3DD57D" w14:textId="5674739F" w:rsidR="00D03C2A" w:rsidRPr="008B21FC" w:rsidRDefault="00D03C2A" w:rsidP="00D03C2A">
                  <w:pPr>
                    <w:jc w:val="right"/>
                    <w:rPr>
                      <w:rFonts w:ascii="Calibri" w:hAnsi="Calibri" w:cs="Calibri"/>
                      <w:color w:val="000000"/>
                      <w:sz w:val="22"/>
                      <w:szCs w:val="22"/>
                      <w:lang w:eastAsia="en-GB"/>
                    </w:rPr>
                  </w:pPr>
                  <w:r>
                    <w:rPr>
                      <w:rFonts w:ascii="Calibri" w:hAnsi="Calibri" w:cs="Calibri"/>
                      <w:color w:val="000000"/>
                      <w:sz w:val="22"/>
                      <w:szCs w:val="22"/>
                      <w:lang w:eastAsia="en-GB"/>
                    </w:rPr>
                    <w:t>-7.9</w:t>
                  </w:r>
                </w:p>
              </w:tc>
            </w:tr>
          </w:tbl>
          <w:p w14:paraId="2F3F76A8" w14:textId="77777777" w:rsidR="00F12744" w:rsidRDefault="00F12744" w:rsidP="00AD0BF6"/>
          <w:p w14:paraId="75146655" w14:textId="30B7DDAE" w:rsidR="00F12744" w:rsidRPr="000471F1" w:rsidRDefault="00F12744" w:rsidP="00AD0BF6"/>
        </w:tc>
      </w:tr>
      <w:tr w:rsidR="006B348A" w:rsidRPr="003E202F" w14:paraId="2406C736" w14:textId="77777777" w:rsidTr="000D2423">
        <w:tc>
          <w:tcPr>
            <w:tcW w:w="626" w:type="pct"/>
            <w:vMerge w:val="restart"/>
            <w:vAlign w:val="center"/>
          </w:tcPr>
          <w:p w14:paraId="74D82BBA" w14:textId="68324564" w:rsidR="006B348A" w:rsidRPr="003E202F" w:rsidRDefault="006B348A" w:rsidP="006B348A">
            <w:r>
              <w:t>1b</w:t>
            </w:r>
          </w:p>
        </w:tc>
        <w:tc>
          <w:tcPr>
            <w:tcW w:w="2516" w:type="pct"/>
          </w:tcPr>
          <w:p w14:paraId="0B53C4B2" w14:textId="7AE27CC5" w:rsidR="006B348A" w:rsidRPr="004C361A" w:rsidRDefault="006B348A" w:rsidP="006B348A">
            <w:pPr>
              <w:rPr>
                <w:b/>
                <w:bCs/>
              </w:rPr>
            </w:pPr>
            <w:r w:rsidRPr="004C361A">
              <w:rPr>
                <w:b/>
                <w:bCs/>
              </w:rPr>
              <w:t>Ethnicity employment gap:</w:t>
            </w:r>
          </w:p>
          <w:p w14:paraId="24126FF0" w14:textId="513D2291" w:rsidR="006B348A" w:rsidRPr="000471F1" w:rsidRDefault="006B348A" w:rsidP="006B348A">
            <w:r w:rsidRPr="004C361A">
              <w:t xml:space="preserve">Employment </w:t>
            </w:r>
            <w:r>
              <w:t>rate</w:t>
            </w:r>
            <w:r w:rsidRPr="004C361A">
              <w:t xml:space="preserve"> within various Ethnic Groups (vs</w:t>
            </w:r>
            <w:r>
              <w:t>.</w:t>
            </w:r>
            <w:r w:rsidRPr="004C361A">
              <w:t xml:space="preserve"> White) in London</w:t>
            </w:r>
          </w:p>
        </w:tc>
        <w:tc>
          <w:tcPr>
            <w:tcW w:w="1858" w:type="pct"/>
          </w:tcPr>
          <w:p w14:paraId="79393DDA" w14:textId="26A06FE8" w:rsidR="006B348A" w:rsidRPr="000471F1" w:rsidRDefault="00F77F5C" w:rsidP="006B348A">
            <w:hyperlink r:id="rId13" w:history="1">
              <w:r w:rsidR="006B348A" w:rsidRPr="006B348A">
                <w:rPr>
                  <w:rStyle w:val="Hyperlink"/>
                </w:rPr>
                <w:t>Annual Population Survey (APS)</w:t>
              </w:r>
            </w:hyperlink>
          </w:p>
        </w:tc>
      </w:tr>
      <w:tr w:rsidR="00F12744" w:rsidRPr="003E202F" w14:paraId="02E31489" w14:textId="77777777" w:rsidTr="00F12744">
        <w:tc>
          <w:tcPr>
            <w:tcW w:w="626" w:type="pct"/>
            <w:vMerge/>
          </w:tcPr>
          <w:p w14:paraId="3B07419C" w14:textId="77777777" w:rsidR="00F12744" w:rsidRPr="003E202F" w:rsidRDefault="00F12744" w:rsidP="00AD0BF6"/>
        </w:tc>
        <w:tc>
          <w:tcPr>
            <w:tcW w:w="4374" w:type="pct"/>
            <w:gridSpan w:val="2"/>
          </w:tcPr>
          <w:p w14:paraId="61D62EB8" w14:textId="77777777" w:rsidR="00F12744" w:rsidRDefault="00F12744" w:rsidP="00AD0BF6"/>
          <w:tbl>
            <w:tblPr>
              <w:tblW w:w="7439" w:type="dxa"/>
              <w:tblLayout w:type="fixed"/>
              <w:tblLook w:val="04A0" w:firstRow="1" w:lastRow="0" w:firstColumn="1" w:lastColumn="0" w:noHBand="0" w:noVBand="1"/>
            </w:tblPr>
            <w:tblGrid>
              <w:gridCol w:w="661"/>
              <w:gridCol w:w="968"/>
              <w:gridCol w:w="968"/>
              <w:gridCol w:w="831"/>
              <w:gridCol w:w="851"/>
              <w:gridCol w:w="1417"/>
              <w:gridCol w:w="992"/>
              <w:gridCol w:w="751"/>
            </w:tblGrid>
            <w:tr w:rsidR="00F12744" w:rsidRPr="00F12744" w14:paraId="5AB1B923" w14:textId="77777777" w:rsidTr="00F12744">
              <w:trPr>
                <w:trHeight w:val="30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C8629"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 </w:t>
                  </w:r>
                </w:p>
              </w:tc>
              <w:tc>
                <w:tcPr>
                  <w:tcW w:w="6778"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4E39AAC" w14:textId="77777777" w:rsidR="00F12744" w:rsidRPr="00F12744" w:rsidRDefault="00F12744" w:rsidP="00F12744">
                  <w:pPr>
                    <w:jc w:val="cente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London</w:t>
                  </w:r>
                </w:p>
              </w:tc>
            </w:tr>
            <w:tr w:rsidR="00F12744" w:rsidRPr="00F12744" w14:paraId="6F0FA224" w14:textId="77777777" w:rsidTr="00F12744">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6F1848E8" w14:textId="77777777" w:rsidR="00F12744" w:rsidRPr="00F12744" w:rsidRDefault="00F12744" w:rsidP="00F12744">
                  <w:pPr>
                    <w:jc w:val="center"/>
                    <w:rPr>
                      <w:rFonts w:ascii="Arial" w:hAnsi="Arial" w:cs="Arial"/>
                      <w:b/>
                      <w:bCs/>
                      <w:sz w:val="20"/>
                      <w:szCs w:val="20"/>
                      <w:lang w:eastAsia="en-GB"/>
                    </w:rPr>
                  </w:pPr>
                  <w:r w:rsidRPr="00F12744">
                    <w:rPr>
                      <w:rFonts w:ascii="Arial" w:hAnsi="Arial" w:cs="Arial"/>
                      <w:b/>
                      <w:bCs/>
                      <w:sz w:val="20"/>
                      <w:szCs w:val="20"/>
                      <w:lang w:eastAsia="en-GB"/>
                    </w:rPr>
                    <w:t>Year</w:t>
                  </w:r>
                </w:p>
              </w:tc>
              <w:tc>
                <w:tcPr>
                  <w:tcW w:w="6778" w:type="dxa"/>
                  <w:gridSpan w:val="7"/>
                  <w:tcBorders>
                    <w:top w:val="single" w:sz="4" w:space="0" w:color="auto"/>
                    <w:left w:val="nil"/>
                    <w:bottom w:val="single" w:sz="4" w:space="0" w:color="auto"/>
                    <w:right w:val="single" w:sz="4" w:space="0" w:color="auto"/>
                  </w:tcBorders>
                  <w:shd w:val="clear" w:color="auto" w:fill="auto"/>
                  <w:noWrap/>
                  <w:vAlign w:val="bottom"/>
                  <w:hideMark/>
                </w:tcPr>
                <w:p w14:paraId="11B1DA47" w14:textId="6B6BCECF" w:rsidR="00F12744" w:rsidRPr="00F12744" w:rsidRDefault="00F12744" w:rsidP="00F12744">
                  <w:pPr>
                    <w:jc w:val="cente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Employment rate</w:t>
                  </w:r>
                  <w:r>
                    <w:rPr>
                      <w:rFonts w:ascii="Calibri" w:hAnsi="Calibri" w:cs="Calibri"/>
                      <w:b/>
                      <w:bCs/>
                      <w:color w:val="000000"/>
                      <w:sz w:val="22"/>
                      <w:szCs w:val="22"/>
                      <w:lang w:eastAsia="en-GB"/>
                    </w:rPr>
                    <w:t xml:space="preserve"> (%)</w:t>
                  </w:r>
                </w:p>
              </w:tc>
            </w:tr>
            <w:tr w:rsidR="00F12744" w:rsidRPr="00F12744" w14:paraId="7018DB0C" w14:textId="77777777" w:rsidTr="00F12744">
              <w:trPr>
                <w:trHeight w:val="900"/>
              </w:trPr>
              <w:tc>
                <w:tcPr>
                  <w:tcW w:w="661" w:type="dxa"/>
                  <w:vMerge/>
                  <w:tcBorders>
                    <w:top w:val="nil"/>
                    <w:left w:val="single" w:sz="4" w:space="0" w:color="auto"/>
                    <w:bottom w:val="single" w:sz="4" w:space="0" w:color="auto"/>
                    <w:right w:val="single" w:sz="4" w:space="0" w:color="auto"/>
                  </w:tcBorders>
                  <w:vAlign w:val="center"/>
                  <w:hideMark/>
                </w:tcPr>
                <w:p w14:paraId="45CC42CD" w14:textId="77777777" w:rsidR="00F12744" w:rsidRPr="00F12744" w:rsidRDefault="00F12744" w:rsidP="00F12744">
                  <w:pPr>
                    <w:rPr>
                      <w:rFonts w:ascii="Arial" w:hAnsi="Arial" w:cs="Arial"/>
                      <w:sz w:val="20"/>
                      <w:szCs w:val="20"/>
                      <w:lang w:eastAsia="en-GB"/>
                    </w:rPr>
                  </w:pPr>
                </w:p>
              </w:tc>
              <w:tc>
                <w:tcPr>
                  <w:tcW w:w="968" w:type="dxa"/>
                  <w:tcBorders>
                    <w:top w:val="nil"/>
                    <w:left w:val="nil"/>
                    <w:bottom w:val="single" w:sz="4" w:space="0" w:color="auto"/>
                    <w:right w:val="single" w:sz="4" w:space="0" w:color="auto"/>
                  </w:tcBorders>
                  <w:shd w:val="clear" w:color="auto" w:fill="auto"/>
                  <w:noWrap/>
                  <w:vAlign w:val="bottom"/>
                  <w:hideMark/>
                </w:tcPr>
                <w:p w14:paraId="482B98E6"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White</w:t>
                  </w:r>
                </w:p>
              </w:tc>
              <w:tc>
                <w:tcPr>
                  <w:tcW w:w="968" w:type="dxa"/>
                  <w:tcBorders>
                    <w:top w:val="nil"/>
                    <w:left w:val="nil"/>
                    <w:bottom w:val="single" w:sz="4" w:space="0" w:color="auto"/>
                    <w:right w:val="single" w:sz="4" w:space="0" w:color="auto"/>
                  </w:tcBorders>
                  <w:shd w:val="clear" w:color="auto" w:fill="auto"/>
                  <w:vAlign w:val="bottom"/>
                  <w:hideMark/>
                </w:tcPr>
                <w:p w14:paraId="4B959502"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Other than White</w:t>
                  </w:r>
                </w:p>
              </w:tc>
              <w:tc>
                <w:tcPr>
                  <w:tcW w:w="831" w:type="dxa"/>
                  <w:tcBorders>
                    <w:top w:val="nil"/>
                    <w:left w:val="nil"/>
                    <w:bottom w:val="single" w:sz="4" w:space="0" w:color="auto"/>
                    <w:right w:val="single" w:sz="4" w:space="0" w:color="auto"/>
                  </w:tcBorders>
                  <w:shd w:val="clear" w:color="auto" w:fill="auto"/>
                  <w:vAlign w:val="bottom"/>
                  <w:hideMark/>
                </w:tcPr>
                <w:p w14:paraId="44824551"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Mixed</w:t>
                  </w:r>
                </w:p>
              </w:tc>
              <w:tc>
                <w:tcPr>
                  <w:tcW w:w="851" w:type="dxa"/>
                  <w:tcBorders>
                    <w:top w:val="nil"/>
                    <w:left w:val="nil"/>
                    <w:bottom w:val="single" w:sz="4" w:space="0" w:color="auto"/>
                    <w:right w:val="single" w:sz="4" w:space="0" w:color="auto"/>
                  </w:tcBorders>
                  <w:shd w:val="clear" w:color="auto" w:fill="auto"/>
                  <w:vAlign w:val="bottom"/>
                  <w:hideMark/>
                </w:tcPr>
                <w:p w14:paraId="54AA1B3A"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Indian</w:t>
                  </w:r>
                </w:p>
              </w:tc>
              <w:tc>
                <w:tcPr>
                  <w:tcW w:w="1417" w:type="dxa"/>
                  <w:tcBorders>
                    <w:top w:val="nil"/>
                    <w:left w:val="nil"/>
                    <w:bottom w:val="single" w:sz="4" w:space="0" w:color="auto"/>
                    <w:right w:val="single" w:sz="4" w:space="0" w:color="auto"/>
                  </w:tcBorders>
                  <w:shd w:val="clear" w:color="auto" w:fill="auto"/>
                  <w:vAlign w:val="bottom"/>
                  <w:hideMark/>
                </w:tcPr>
                <w:p w14:paraId="1CE36201" w14:textId="43943336"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Pakistani/ Bangladeshi</w:t>
                  </w:r>
                </w:p>
              </w:tc>
              <w:tc>
                <w:tcPr>
                  <w:tcW w:w="992" w:type="dxa"/>
                  <w:tcBorders>
                    <w:top w:val="nil"/>
                    <w:left w:val="nil"/>
                    <w:bottom w:val="single" w:sz="4" w:space="0" w:color="auto"/>
                    <w:right w:val="single" w:sz="4" w:space="0" w:color="auto"/>
                  </w:tcBorders>
                  <w:shd w:val="clear" w:color="auto" w:fill="auto"/>
                  <w:vAlign w:val="bottom"/>
                  <w:hideMark/>
                </w:tcPr>
                <w:p w14:paraId="5A338359"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Black or Black British</w:t>
                  </w:r>
                </w:p>
              </w:tc>
              <w:tc>
                <w:tcPr>
                  <w:tcW w:w="751" w:type="dxa"/>
                  <w:tcBorders>
                    <w:top w:val="nil"/>
                    <w:left w:val="nil"/>
                    <w:bottom w:val="single" w:sz="4" w:space="0" w:color="auto"/>
                    <w:right w:val="single" w:sz="4" w:space="0" w:color="auto"/>
                  </w:tcBorders>
                  <w:shd w:val="clear" w:color="auto" w:fill="auto"/>
                  <w:vAlign w:val="bottom"/>
                  <w:hideMark/>
                </w:tcPr>
                <w:p w14:paraId="0542D603"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Other</w:t>
                  </w:r>
                </w:p>
              </w:tc>
            </w:tr>
            <w:tr w:rsidR="00F12744" w:rsidRPr="00F12744" w14:paraId="3AFC4406" w14:textId="77777777" w:rsidTr="00F12744">
              <w:trPr>
                <w:trHeight w:val="300"/>
              </w:trPr>
              <w:tc>
                <w:tcPr>
                  <w:tcW w:w="661" w:type="dxa"/>
                  <w:tcBorders>
                    <w:top w:val="nil"/>
                    <w:left w:val="single" w:sz="4" w:space="0" w:color="auto"/>
                    <w:bottom w:val="single" w:sz="4" w:space="0" w:color="auto"/>
                    <w:right w:val="single" w:sz="4" w:space="0" w:color="auto"/>
                  </w:tcBorders>
                  <w:shd w:val="clear" w:color="auto" w:fill="auto"/>
                  <w:noWrap/>
                  <w:hideMark/>
                </w:tcPr>
                <w:p w14:paraId="049850C7" w14:textId="77777777" w:rsidR="00F12744" w:rsidRPr="00F12744" w:rsidRDefault="00F12744" w:rsidP="00F12744">
                  <w:pPr>
                    <w:rPr>
                      <w:rFonts w:ascii="Arial" w:hAnsi="Arial" w:cs="Arial"/>
                      <w:sz w:val="20"/>
                      <w:szCs w:val="20"/>
                      <w:lang w:eastAsia="en-GB"/>
                    </w:rPr>
                  </w:pPr>
                  <w:r w:rsidRPr="00F12744">
                    <w:rPr>
                      <w:rFonts w:ascii="Arial" w:hAnsi="Arial" w:cs="Arial"/>
                      <w:sz w:val="20"/>
                      <w:szCs w:val="20"/>
                      <w:lang w:eastAsia="en-GB"/>
                    </w:rPr>
                    <w:t>2020</w:t>
                  </w:r>
                </w:p>
              </w:tc>
              <w:tc>
                <w:tcPr>
                  <w:tcW w:w="968" w:type="dxa"/>
                  <w:tcBorders>
                    <w:top w:val="nil"/>
                    <w:left w:val="nil"/>
                    <w:bottom w:val="single" w:sz="4" w:space="0" w:color="auto"/>
                    <w:right w:val="single" w:sz="4" w:space="0" w:color="auto"/>
                  </w:tcBorders>
                  <w:shd w:val="clear" w:color="auto" w:fill="auto"/>
                  <w:noWrap/>
                  <w:hideMark/>
                </w:tcPr>
                <w:p w14:paraId="625F87AE" w14:textId="6376C1C3" w:rsidR="00F12744" w:rsidRPr="00F12744" w:rsidRDefault="00F12744" w:rsidP="00F12744">
                  <w:pPr>
                    <w:jc w:val="right"/>
                    <w:rPr>
                      <w:rFonts w:ascii="Arial" w:hAnsi="Arial" w:cs="Arial"/>
                      <w:sz w:val="20"/>
                      <w:szCs w:val="20"/>
                      <w:lang w:eastAsia="en-GB"/>
                    </w:rPr>
                  </w:pPr>
                  <w:r w:rsidRPr="00F12744">
                    <w:rPr>
                      <w:rFonts w:ascii="Arial" w:hAnsi="Arial" w:cs="Arial"/>
                      <w:sz w:val="20"/>
                      <w:szCs w:val="20"/>
                      <w:lang w:eastAsia="en-GB"/>
                    </w:rPr>
                    <w:t>79.</w:t>
                  </w:r>
                  <w:r w:rsidR="00D03C2A">
                    <w:rPr>
                      <w:rFonts w:ascii="Arial" w:hAnsi="Arial" w:cs="Arial"/>
                      <w:sz w:val="20"/>
                      <w:szCs w:val="20"/>
                      <w:lang w:eastAsia="en-GB"/>
                    </w:rPr>
                    <w:t>3</w:t>
                  </w:r>
                </w:p>
              </w:tc>
              <w:tc>
                <w:tcPr>
                  <w:tcW w:w="968" w:type="dxa"/>
                  <w:tcBorders>
                    <w:top w:val="nil"/>
                    <w:left w:val="nil"/>
                    <w:bottom w:val="single" w:sz="4" w:space="0" w:color="auto"/>
                    <w:right w:val="single" w:sz="4" w:space="0" w:color="auto"/>
                  </w:tcBorders>
                  <w:shd w:val="clear" w:color="auto" w:fill="auto"/>
                  <w:noWrap/>
                  <w:hideMark/>
                </w:tcPr>
                <w:p w14:paraId="05E5108E" w14:textId="4000EA24" w:rsidR="00F12744" w:rsidRPr="00F12744" w:rsidRDefault="00F12744" w:rsidP="00F12744">
                  <w:pPr>
                    <w:jc w:val="right"/>
                    <w:rPr>
                      <w:rFonts w:ascii="Arial" w:hAnsi="Arial" w:cs="Arial"/>
                      <w:sz w:val="20"/>
                      <w:szCs w:val="20"/>
                      <w:lang w:eastAsia="en-GB"/>
                    </w:rPr>
                  </w:pPr>
                  <w:r w:rsidRPr="00F12744">
                    <w:rPr>
                      <w:rFonts w:ascii="Arial" w:hAnsi="Arial" w:cs="Arial"/>
                      <w:sz w:val="20"/>
                      <w:szCs w:val="20"/>
                      <w:lang w:eastAsia="en-GB"/>
                    </w:rPr>
                    <w:t>68.</w:t>
                  </w:r>
                  <w:r w:rsidR="00D03C2A">
                    <w:rPr>
                      <w:rFonts w:ascii="Arial" w:hAnsi="Arial" w:cs="Arial"/>
                      <w:sz w:val="20"/>
                      <w:szCs w:val="20"/>
                      <w:lang w:eastAsia="en-GB"/>
                    </w:rPr>
                    <w:t>8</w:t>
                  </w:r>
                </w:p>
              </w:tc>
              <w:tc>
                <w:tcPr>
                  <w:tcW w:w="831" w:type="dxa"/>
                  <w:tcBorders>
                    <w:top w:val="nil"/>
                    <w:left w:val="nil"/>
                    <w:bottom w:val="single" w:sz="4" w:space="0" w:color="auto"/>
                    <w:right w:val="single" w:sz="4" w:space="0" w:color="auto"/>
                  </w:tcBorders>
                  <w:shd w:val="clear" w:color="auto" w:fill="auto"/>
                  <w:noWrap/>
                  <w:hideMark/>
                </w:tcPr>
                <w:p w14:paraId="3FB8D21B" w14:textId="5E57FB01" w:rsidR="00F12744" w:rsidRPr="00F12744" w:rsidRDefault="00F12744" w:rsidP="00F12744">
                  <w:pPr>
                    <w:jc w:val="right"/>
                    <w:rPr>
                      <w:rFonts w:ascii="Arial" w:hAnsi="Arial" w:cs="Arial"/>
                      <w:sz w:val="20"/>
                      <w:szCs w:val="20"/>
                      <w:lang w:eastAsia="en-GB"/>
                    </w:rPr>
                  </w:pPr>
                  <w:r w:rsidRPr="00F12744">
                    <w:rPr>
                      <w:rFonts w:ascii="Arial" w:hAnsi="Arial" w:cs="Arial"/>
                      <w:sz w:val="20"/>
                      <w:szCs w:val="20"/>
                      <w:lang w:eastAsia="en-GB"/>
                    </w:rPr>
                    <w:t>70.</w:t>
                  </w:r>
                  <w:r w:rsidR="00D03C2A">
                    <w:rPr>
                      <w:rFonts w:ascii="Arial" w:hAnsi="Arial" w:cs="Arial"/>
                      <w:sz w:val="20"/>
                      <w:szCs w:val="20"/>
                      <w:lang w:eastAsia="en-GB"/>
                    </w:rPr>
                    <w:t>7</w:t>
                  </w:r>
                </w:p>
              </w:tc>
              <w:tc>
                <w:tcPr>
                  <w:tcW w:w="851" w:type="dxa"/>
                  <w:tcBorders>
                    <w:top w:val="nil"/>
                    <w:left w:val="nil"/>
                    <w:bottom w:val="single" w:sz="4" w:space="0" w:color="auto"/>
                    <w:right w:val="single" w:sz="4" w:space="0" w:color="auto"/>
                  </w:tcBorders>
                  <w:shd w:val="clear" w:color="auto" w:fill="auto"/>
                  <w:noWrap/>
                  <w:hideMark/>
                </w:tcPr>
                <w:p w14:paraId="30612A54" w14:textId="77777777" w:rsidR="00F12744" w:rsidRPr="00F12744" w:rsidRDefault="00F12744" w:rsidP="00F12744">
                  <w:pPr>
                    <w:jc w:val="right"/>
                    <w:rPr>
                      <w:rFonts w:ascii="Arial" w:hAnsi="Arial" w:cs="Arial"/>
                      <w:sz w:val="20"/>
                      <w:szCs w:val="20"/>
                      <w:lang w:eastAsia="en-GB"/>
                    </w:rPr>
                  </w:pPr>
                  <w:r w:rsidRPr="00F12744">
                    <w:rPr>
                      <w:rFonts w:ascii="Arial" w:hAnsi="Arial" w:cs="Arial"/>
                      <w:sz w:val="20"/>
                      <w:szCs w:val="20"/>
                      <w:lang w:eastAsia="en-GB"/>
                    </w:rPr>
                    <w:t>77.9</w:t>
                  </w:r>
                </w:p>
              </w:tc>
              <w:tc>
                <w:tcPr>
                  <w:tcW w:w="1417" w:type="dxa"/>
                  <w:tcBorders>
                    <w:top w:val="nil"/>
                    <w:left w:val="nil"/>
                    <w:bottom w:val="single" w:sz="4" w:space="0" w:color="auto"/>
                    <w:right w:val="single" w:sz="4" w:space="0" w:color="auto"/>
                  </w:tcBorders>
                  <w:shd w:val="clear" w:color="auto" w:fill="auto"/>
                  <w:noWrap/>
                  <w:hideMark/>
                </w:tcPr>
                <w:p w14:paraId="1AA1AE29" w14:textId="02D678BD" w:rsidR="00F12744" w:rsidRPr="00F12744" w:rsidRDefault="00F12744" w:rsidP="00F12744">
                  <w:pPr>
                    <w:jc w:val="right"/>
                    <w:rPr>
                      <w:rFonts w:ascii="Arial" w:hAnsi="Arial" w:cs="Arial"/>
                      <w:sz w:val="20"/>
                      <w:szCs w:val="20"/>
                      <w:lang w:eastAsia="en-GB"/>
                    </w:rPr>
                  </w:pPr>
                  <w:r w:rsidRPr="00F12744">
                    <w:rPr>
                      <w:rFonts w:ascii="Arial" w:hAnsi="Arial" w:cs="Arial"/>
                      <w:sz w:val="20"/>
                      <w:szCs w:val="20"/>
                      <w:lang w:eastAsia="en-GB"/>
                    </w:rPr>
                    <w:t>59.</w:t>
                  </w:r>
                  <w:r w:rsidR="00D03C2A">
                    <w:rPr>
                      <w:rFonts w:ascii="Arial" w:hAnsi="Arial" w:cs="Arial"/>
                      <w:sz w:val="20"/>
                      <w:szCs w:val="20"/>
                      <w:lang w:eastAsia="en-GB"/>
                    </w:rPr>
                    <w:t>9</w:t>
                  </w:r>
                </w:p>
              </w:tc>
              <w:tc>
                <w:tcPr>
                  <w:tcW w:w="992" w:type="dxa"/>
                  <w:tcBorders>
                    <w:top w:val="nil"/>
                    <w:left w:val="nil"/>
                    <w:bottom w:val="single" w:sz="4" w:space="0" w:color="auto"/>
                    <w:right w:val="single" w:sz="4" w:space="0" w:color="auto"/>
                  </w:tcBorders>
                  <w:shd w:val="clear" w:color="auto" w:fill="auto"/>
                  <w:noWrap/>
                  <w:hideMark/>
                </w:tcPr>
                <w:p w14:paraId="47A325F9" w14:textId="44A40A35" w:rsidR="00F12744" w:rsidRPr="00F12744" w:rsidRDefault="00F12744" w:rsidP="00F12744">
                  <w:pPr>
                    <w:jc w:val="right"/>
                    <w:rPr>
                      <w:rFonts w:ascii="Arial" w:hAnsi="Arial" w:cs="Arial"/>
                      <w:sz w:val="20"/>
                      <w:szCs w:val="20"/>
                      <w:lang w:eastAsia="en-GB"/>
                    </w:rPr>
                  </w:pPr>
                  <w:r w:rsidRPr="00F12744">
                    <w:rPr>
                      <w:rFonts w:ascii="Arial" w:hAnsi="Arial" w:cs="Arial"/>
                      <w:sz w:val="20"/>
                      <w:szCs w:val="20"/>
                      <w:lang w:eastAsia="en-GB"/>
                    </w:rPr>
                    <w:t>65.</w:t>
                  </w:r>
                  <w:r w:rsidR="00D03C2A">
                    <w:rPr>
                      <w:rFonts w:ascii="Arial" w:hAnsi="Arial" w:cs="Arial"/>
                      <w:sz w:val="20"/>
                      <w:szCs w:val="20"/>
                      <w:lang w:eastAsia="en-GB"/>
                    </w:rPr>
                    <w:t>8</w:t>
                  </w:r>
                </w:p>
              </w:tc>
              <w:tc>
                <w:tcPr>
                  <w:tcW w:w="751" w:type="dxa"/>
                  <w:tcBorders>
                    <w:top w:val="nil"/>
                    <w:left w:val="nil"/>
                    <w:bottom w:val="single" w:sz="4" w:space="0" w:color="auto"/>
                    <w:right w:val="single" w:sz="4" w:space="0" w:color="auto"/>
                  </w:tcBorders>
                  <w:shd w:val="clear" w:color="auto" w:fill="auto"/>
                  <w:noWrap/>
                  <w:hideMark/>
                </w:tcPr>
                <w:p w14:paraId="58F49B72" w14:textId="7A0C8C05" w:rsidR="00F12744" w:rsidRPr="00F12744" w:rsidRDefault="00F12744" w:rsidP="00F12744">
                  <w:pPr>
                    <w:jc w:val="right"/>
                    <w:rPr>
                      <w:rFonts w:ascii="Arial" w:hAnsi="Arial" w:cs="Arial"/>
                      <w:sz w:val="20"/>
                      <w:szCs w:val="20"/>
                      <w:lang w:eastAsia="en-GB"/>
                    </w:rPr>
                  </w:pPr>
                  <w:r w:rsidRPr="00F12744">
                    <w:rPr>
                      <w:rFonts w:ascii="Arial" w:hAnsi="Arial" w:cs="Arial"/>
                      <w:sz w:val="20"/>
                      <w:szCs w:val="20"/>
                      <w:lang w:eastAsia="en-GB"/>
                    </w:rPr>
                    <w:t>68.</w:t>
                  </w:r>
                  <w:r w:rsidR="00D03C2A">
                    <w:rPr>
                      <w:rFonts w:ascii="Arial" w:hAnsi="Arial" w:cs="Arial"/>
                      <w:sz w:val="20"/>
                      <w:szCs w:val="20"/>
                      <w:lang w:eastAsia="en-GB"/>
                    </w:rPr>
                    <w:t>8</w:t>
                  </w:r>
                </w:p>
              </w:tc>
            </w:tr>
            <w:tr w:rsidR="00D03C2A" w:rsidRPr="00F12744" w14:paraId="4F02D168" w14:textId="77777777" w:rsidTr="00F12744">
              <w:trPr>
                <w:trHeight w:val="300"/>
              </w:trPr>
              <w:tc>
                <w:tcPr>
                  <w:tcW w:w="661" w:type="dxa"/>
                  <w:tcBorders>
                    <w:top w:val="nil"/>
                    <w:left w:val="single" w:sz="4" w:space="0" w:color="auto"/>
                    <w:bottom w:val="single" w:sz="4" w:space="0" w:color="auto"/>
                    <w:right w:val="single" w:sz="4" w:space="0" w:color="auto"/>
                  </w:tcBorders>
                  <w:shd w:val="clear" w:color="auto" w:fill="auto"/>
                  <w:noWrap/>
                </w:tcPr>
                <w:p w14:paraId="0B146D82" w14:textId="7A8CA58B" w:rsidR="00D03C2A" w:rsidRPr="00F12744" w:rsidRDefault="00D03C2A" w:rsidP="00F12744">
                  <w:pPr>
                    <w:rPr>
                      <w:rFonts w:ascii="Arial" w:hAnsi="Arial" w:cs="Arial"/>
                      <w:sz w:val="20"/>
                      <w:szCs w:val="20"/>
                      <w:lang w:eastAsia="en-GB"/>
                    </w:rPr>
                  </w:pPr>
                  <w:r>
                    <w:rPr>
                      <w:rFonts w:ascii="Arial" w:hAnsi="Arial" w:cs="Arial"/>
                      <w:sz w:val="20"/>
                      <w:szCs w:val="20"/>
                      <w:lang w:eastAsia="en-GB"/>
                    </w:rPr>
                    <w:t>2021</w:t>
                  </w:r>
                </w:p>
              </w:tc>
              <w:tc>
                <w:tcPr>
                  <w:tcW w:w="968" w:type="dxa"/>
                  <w:tcBorders>
                    <w:top w:val="nil"/>
                    <w:left w:val="nil"/>
                    <w:bottom w:val="single" w:sz="4" w:space="0" w:color="auto"/>
                    <w:right w:val="single" w:sz="4" w:space="0" w:color="auto"/>
                  </w:tcBorders>
                  <w:shd w:val="clear" w:color="auto" w:fill="auto"/>
                  <w:noWrap/>
                </w:tcPr>
                <w:p w14:paraId="29B9D916" w14:textId="7274B432" w:rsidR="00D03C2A" w:rsidRPr="00F12744" w:rsidRDefault="00D03C2A" w:rsidP="00F12744">
                  <w:pPr>
                    <w:jc w:val="right"/>
                    <w:rPr>
                      <w:rFonts w:ascii="Arial" w:hAnsi="Arial" w:cs="Arial"/>
                      <w:sz w:val="20"/>
                      <w:szCs w:val="20"/>
                      <w:lang w:eastAsia="en-GB"/>
                    </w:rPr>
                  </w:pPr>
                  <w:r>
                    <w:rPr>
                      <w:rFonts w:ascii="Arial" w:hAnsi="Arial" w:cs="Arial"/>
                      <w:sz w:val="20"/>
                      <w:szCs w:val="20"/>
                      <w:lang w:eastAsia="en-GB"/>
                    </w:rPr>
                    <w:t>78.9</w:t>
                  </w:r>
                </w:p>
              </w:tc>
              <w:tc>
                <w:tcPr>
                  <w:tcW w:w="968" w:type="dxa"/>
                  <w:tcBorders>
                    <w:top w:val="nil"/>
                    <w:left w:val="nil"/>
                    <w:bottom w:val="single" w:sz="4" w:space="0" w:color="auto"/>
                    <w:right w:val="single" w:sz="4" w:space="0" w:color="auto"/>
                  </w:tcBorders>
                  <w:shd w:val="clear" w:color="auto" w:fill="auto"/>
                  <w:noWrap/>
                </w:tcPr>
                <w:p w14:paraId="59C9F80F" w14:textId="05A82B12" w:rsidR="00D03C2A" w:rsidRPr="00F12744" w:rsidRDefault="00D03C2A" w:rsidP="00F12744">
                  <w:pPr>
                    <w:jc w:val="right"/>
                    <w:rPr>
                      <w:rFonts w:ascii="Arial" w:hAnsi="Arial" w:cs="Arial"/>
                      <w:sz w:val="20"/>
                      <w:szCs w:val="20"/>
                      <w:lang w:eastAsia="en-GB"/>
                    </w:rPr>
                  </w:pPr>
                  <w:r>
                    <w:rPr>
                      <w:rFonts w:ascii="Arial" w:hAnsi="Arial" w:cs="Arial"/>
                      <w:sz w:val="20"/>
                      <w:szCs w:val="20"/>
                      <w:lang w:eastAsia="en-GB"/>
                    </w:rPr>
                    <w:t>68.8</w:t>
                  </w:r>
                </w:p>
              </w:tc>
              <w:tc>
                <w:tcPr>
                  <w:tcW w:w="831" w:type="dxa"/>
                  <w:tcBorders>
                    <w:top w:val="nil"/>
                    <w:left w:val="nil"/>
                    <w:bottom w:val="single" w:sz="4" w:space="0" w:color="auto"/>
                    <w:right w:val="single" w:sz="4" w:space="0" w:color="auto"/>
                  </w:tcBorders>
                  <w:shd w:val="clear" w:color="auto" w:fill="auto"/>
                  <w:noWrap/>
                </w:tcPr>
                <w:p w14:paraId="343E33D6" w14:textId="3899BB44" w:rsidR="00D03C2A" w:rsidRPr="00F12744" w:rsidRDefault="00D03C2A" w:rsidP="00F12744">
                  <w:pPr>
                    <w:jc w:val="right"/>
                    <w:rPr>
                      <w:rFonts w:ascii="Arial" w:hAnsi="Arial" w:cs="Arial"/>
                      <w:sz w:val="20"/>
                      <w:szCs w:val="20"/>
                      <w:lang w:eastAsia="en-GB"/>
                    </w:rPr>
                  </w:pPr>
                  <w:r>
                    <w:rPr>
                      <w:rFonts w:ascii="Arial" w:hAnsi="Arial" w:cs="Arial"/>
                      <w:sz w:val="20"/>
                      <w:szCs w:val="20"/>
                      <w:lang w:eastAsia="en-GB"/>
                    </w:rPr>
                    <w:t>64.0</w:t>
                  </w:r>
                </w:p>
              </w:tc>
              <w:tc>
                <w:tcPr>
                  <w:tcW w:w="851" w:type="dxa"/>
                  <w:tcBorders>
                    <w:top w:val="nil"/>
                    <w:left w:val="nil"/>
                    <w:bottom w:val="single" w:sz="4" w:space="0" w:color="auto"/>
                    <w:right w:val="single" w:sz="4" w:space="0" w:color="auto"/>
                  </w:tcBorders>
                  <w:shd w:val="clear" w:color="auto" w:fill="auto"/>
                  <w:noWrap/>
                </w:tcPr>
                <w:p w14:paraId="51577128" w14:textId="1D070B06" w:rsidR="00D03C2A" w:rsidRPr="00F12744" w:rsidRDefault="00D03C2A" w:rsidP="00F12744">
                  <w:pPr>
                    <w:jc w:val="right"/>
                    <w:rPr>
                      <w:rFonts w:ascii="Arial" w:hAnsi="Arial" w:cs="Arial"/>
                      <w:sz w:val="20"/>
                      <w:szCs w:val="20"/>
                      <w:lang w:eastAsia="en-GB"/>
                    </w:rPr>
                  </w:pPr>
                  <w:r>
                    <w:rPr>
                      <w:rFonts w:ascii="Arial" w:hAnsi="Arial" w:cs="Arial"/>
                      <w:sz w:val="20"/>
                      <w:szCs w:val="20"/>
                      <w:lang w:eastAsia="en-GB"/>
                    </w:rPr>
                    <w:t>79.9</w:t>
                  </w:r>
                </w:p>
              </w:tc>
              <w:tc>
                <w:tcPr>
                  <w:tcW w:w="1417" w:type="dxa"/>
                  <w:tcBorders>
                    <w:top w:val="nil"/>
                    <w:left w:val="nil"/>
                    <w:bottom w:val="single" w:sz="4" w:space="0" w:color="auto"/>
                    <w:right w:val="single" w:sz="4" w:space="0" w:color="auto"/>
                  </w:tcBorders>
                  <w:shd w:val="clear" w:color="auto" w:fill="auto"/>
                  <w:noWrap/>
                </w:tcPr>
                <w:p w14:paraId="229CF243" w14:textId="02EBCEBC" w:rsidR="00D03C2A" w:rsidRPr="00F12744" w:rsidRDefault="00D03C2A" w:rsidP="00F12744">
                  <w:pPr>
                    <w:jc w:val="right"/>
                    <w:rPr>
                      <w:rFonts w:ascii="Arial" w:hAnsi="Arial" w:cs="Arial"/>
                      <w:sz w:val="20"/>
                      <w:szCs w:val="20"/>
                      <w:lang w:eastAsia="en-GB"/>
                    </w:rPr>
                  </w:pPr>
                  <w:r>
                    <w:rPr>
                      <w:rFonts w:ascii="Arial" w:hAnsi="Arial" w:cs="Arial"/>
                      <w:sz w:val="20"/>
                      <w:szCs w:val="20"/>
                      <w:lang w:eastAsia="en-GB"/>
                    </w:rPr>
                    <w:t>60.9</w:t>
                  </w:r>
                </w:p>
              </w:tc>
              <w:tc>
                <w:tcPr>
                  <w:tcW w:w="992" w:type="dxa"/>
                  <w:tcBorders>
                    <w:top w:val="nil"/>
                    <w:left w:val="nil"/>
                    <w:bottom w:val="single" w:sz="4" w:space="0" w:color="auto"/>
                    <w:right w:val="single" w:sz="4" w:space="0" w:color="auto"/>
                  </w:tcBorders>
                  <w:shd w:val="clear" w:color="auto" w:fill="auto"/>
                  <w:noWrap/>
                </w:tcPr>
                <w:p w14:paraId="7A06A8F0" w14:textId="6501B4B8" w:rsidR="00D03C2A" w:rsidRPr="00F12744" w:rsidRDefault="00D03C2A" w:rsidP="00F12744">
                  <w:pPr>
                    <w:jc w:val="right"/>
                    <w:rPr>
                      <w:rFonts w:ascii="Arial" w:hAnsi="Arial" w:cs="Arial"/>
                      <w:sz w:val="20"/>
                      <w:szCs w:val="20"/>
                      <w:lang w:eastAsia="en-GB"/>
                    </w:rPr>
                  </w:pPr>
                  <w:r>
                    <w:rPr>
                      <w:rFonts w:ascii="Arial" w:hAnsi="Arial" w:cs="Arial"/>
                      <w:sz w:val="20"/>
                      <w:szCs w:val="20"/>
                      <w:lang w:eastAsia="en-GB"/>
                    </w:rPr>
                    <w:t>67.4</w:t>
                  </w:r>
                </w:p>
              </w:tc>
              <w:tc>
                <w:tcPr>
                  <w:tcW w:w="751" w:type="dxa"/>
                  <w:tcBorders>
                    <w:top w:val="nil"/>
                    <w:left w:val="nil"/>
                    <w:bottom w:val="single" w:sz="4" w:space="0" w:color="auto"/>
                    <w:right w:val="single" w:sz="4" w:space="0" w:color="auto"/>
                  </w:tcBorders>
                  <w:shd w:val="clear" w:color="auto" w:fill="auto"/>
                  <w:noWrap/>
                </w:tcPr>
                <w:p w14:paraId="6C8BECA8" w14:textId="5750FAD7" w:rsidR="00D03C2A" w:rsidRPr="00F12744" w:rsidRDefault="00D03C2A" w:rsidP="00F12744">
                  <w:pPr>
                    <w:jc w:val="right"/>
                    <w:rPr>
                      <w:rFonts w:ascii="Arial" w:hAnsi="Arial" w:cs="Arial"/>
                      <w:sz w:val="20"/>
                      <w:szCs w:val="20"/>
                      <w:lang w:eastAsia="en-GB"/>
                    </w:rPr>
                  </w:pPr>
                  <w:r>
                    <w:rPr>
                      <w:rFonts w:ascii="Arial" w:hAnsi="Arial" w:cs="Arial"/>
                      <w:sz w:val="20"/>
                      <w:szCs w:val="20"/>
                      <w:lang w:eastAsia="en-GB"/>
                    </w:rPr>
                    <w:t>68.8</w:t>
                  </w:r>
                </w:p>
              </w:tc>
            </w:tr>
            <w:tr w:rsidR="00F12744" w:rsidRPr="00F12744" w14:paraId="56105354" w14:textId="77777777" w:rsidTr="00F12744">
              <w:trPr>
                <w:trHeight w:val="300"/>
              </w:trPr>
              <w:tc>
                <w:tcPr>
                  <w:tcW w:w="661" w:type="dxa"/>
                  <w:tcBorders>
                    <w:top w:val="nil"/>
                    <w:left w:val="single" w:sz="4" w:space="0" w:color="auto"/>
                    <w:bottom w:val="single" w:sz="4" w:space="0" w:color="auto"/>
                    <w:right w:val="single" w:sz="4" w:space="0" w:color="auto"/>
                  </w:tcBorders>
                  <w:shd w:val="clear" w:color="auto" w:fill="auto"/>
                  <w:noWrap/>
                  <w:hideMark/>
                </w:tcPr>
                <w:p w14:paraId="7ACA6B53" w14:textId="216820F9" w:rsidR="00F12744" w:rsidRPr="00F12744" w:rsidRDefault="00F12744" w:rsidP="00F12744">
                  <w:pPr>
                    <w:rPr>
                      <w:rFonts w:ascii="Arial" w:hAnsi="Arial" w:cs="Arial"/>
                      <w:sz w:val="20"/>
                      <w:szCs w:val="20"/>
                      <w:lang w:eastAsia="en-GB"/>
                    </w:rPr>
                  </w:pPr>
                  <w:r w:rsidRPr="00F12744">
                    <w:rPr>
                      <w:rFonts w:ascii="Arial" w:hAnsi="Arial" w:cs="Arial"/>
                      <w:sz w:val="20"/>
                      <w:szCs w:val="20"/>
                      <w:lang w:eastAsia="en-GB"/>
                    </w:rPr>
                    <w:t>202</w:t>
                  </w:r>
                  <w:r w:rsidR="00D03C2A">
                    <w:rPr>
                      <w:rFonts w:ascii="Arial" w:hAnsi="Arial" w:cs="Arial"/>
                      <w:sz w:val="20"/>
                      <w:szCs w:val="20"/>
                      <w:lang w:eastAsia="en-GB"/>
                    </w:rPr>
                    <w:t>2</w:t>
                  </w:r>
                </w:p>
              </w:tc>
              <w:tc>
                <w:tcPr>
                  <w:tcW w:w="968" w:type="dxa"/>
                  <w:tcBorders>
                    <w:top w:val="nil"/>
                    <w:left w:val="nil"/>
                    <w:bottom w:val="single" w:sz="4" w:space="0" w:color="auto"/>
                    <w:right w:val="single" w:sz="4" w:space="0" w:color="auto"/>
                  </w:tcBorders>
                  <w:shd w:val="clear" w:color="auto" w:fill="auto"/>
                  <w:noWrap/>
                  <w:hideMark/>
                </w:tcPr>
                <w:p w14:paraId="4284447D" w14:textId="6B5B75BF" w:rsidR="00F12744" w:rsidRPr="00F12744" w:rsidRDefault="00D03C2A" w:rsidP="00F12744">
                  <w:pPr>
                    <w:jc w:val="right"/>
                    <w:rPr>
                      <w:rFonts w:ascii="Arial" w:hAnsi="Arial" w:cs="Arial"/>
                      <w:sz w:val="20"/>
                      <w:szCs w:val="20"/>
                      <w:lang w:eastAsia="en-GB"/>
                    </w:rPr>
                  </w:pPr>
                  <w:r>
                    <w:rPr>
                      <w:rFonts w:ascii="Arial" w:hAnsi="Arial" w:cs="Arial"/>
                      <w:sz w:val="20"/>
                      <w:szCs w:val="20"/>
                      <w:lang w:eastAsia="en-GB"/>
                    </w:rPr>
                    <w:t>80.1</w:t>
                  </w:r>
                </w:p>
              </w:tc>
              <w:tc>
                <w:tcPr>
                  <w:tcW w:w="968" w:type="dxa"/>
                  <w:tcBorders>
                    <w:top w:val="nil"/>
                    <w:left w:val="nil"/>
                    <w:bottom w:val="single" w:sz="4" w:space="0" w:color="auto"/>
                    <w:right w:val="single" w:sz="4" w:space="0" w:color="auto"/>
                  </w:tcBorders>
                  <w:shd w:val="clear" w:color="auto" w:fill="auto"/>
                  <w:noWrap/>
                  <w:hideMark/>
                </w:tcPr>
                <w:p w14:paraId="67445AA1" w14:textId="2DD3966C" w:rsidR="00F12744" w:rsidRPr="00F12744" w:rsidRDefault="00D03C2A" w:rsidP="00F12744">
                  <w:pPr>
                    <w:jc w:val="right"/>
                    <w:rPr>
                      <w:rFonts w:ascii="Arial" w:hAnsi="Arial" w:cs="Arial"/>
                      <w:sz w:val="20"/>
                      <w:szCs w:val="20"/>
                      <w:lang w:eastAsia="en-GB"/>
                    </w:rPr>
                  </w:pPr>
                  <w:r>
                    <w:rPr>
                      <w:rFonts w:ascii="Arial" w:hAnsi="Arial" w:cs="Arial"/>
                      <w:sz w:val="20"/>
                      <w:szCs w:val="20"/>
                      <w:lang w:eastAsia="en-GB"/>
                    </w:rPr>
                    <w:t>70.7</w:t>
                  </w:r>
                </w:p>
              </w:tc>
              <w:tc>
                <w:tcPr>
                  <w:tcW w:w="831" w:type="dxa"/>
                  <w:tcBorders>
                    <w:top w:val="nil"/>
                    <w:left w:val="nil"/>
                    <w:bottom w:val="single" w:sz="4" w:space="0" w:color="auto"/>
                    <w:right w:val="single" w:sz="4" w:space="0" w:color="auto"/>
                  </w:tcBorders>
                  <w:shd w:val="clear" w:color="auto" w:fill="auto"/>
                  <w:noWrap/>
                  <w:hideMark/>
                </w:tcPr>
                <w:p w14:paraId="4455CFEB" w14:textId="2D5B1635" w:rsidR="00F12744" w:rsidRPr="00F12744" w:rsidRDefault="00D03C2A" w:rsidP="00F12744">
                  <w:pPr>
                    <w:jc w:val="right"/>
                    <w:rPr>
                      <w:rFonts w:ascii="Arial" w:hAnsi="Arial" w:cs="Arial"/>
                      <w:sz w:val="20"/>
                      <w:szCs w:val="20"/>
                      <w:lang w:eastAsia="en-GB"/>
                    </w:rPr>
                  </w:pPr>
                  <w:r>
                    <w:rPr>
                      <w:rFonts w:ascii="Arial" w:hAnsi="Arial" w:cs="Arial"/>
                      <w:sz w:val="20"/>
                      <w:szCs w:val="20"/>
                      <w:lang w:eastAsia="en-GB"/>
                    </w:rPr>
                    <w:t>70.8</w:t>
                  </w:r>
                </w:p>
              </w:tc>
              <w:tc>
                <w:tcPr>
                  <w:tcW w:w="851" w:type="dxa"/>
                  <w:tcBorders>
                    <w:top w:val="nil"/>
                    <w:left w:val="nil"/>
                    <w:bottom w:val="single" w:sz="4" w:space="0" w:color="auto"/>
                    <w:right w:val="single" w:sz="4" w:space="0" w:color="auto"/>
                  </w:tcBorders>
                  <w:shd w:val="clear" w:color="auto" w:fill="auto"/>
                  <w:noWrap/>
                  <w:hideMark/>
                </w:tcPr>
                <w:p w14:paraId="2B1646C2" w14:textId="67675BEB" w:rsidR="00F12744" w:rsidRPr="00F12744" w:rsidRDefault="00F12744" w:rsidP="00F12744">
                  <w:pPr>
                    <w:jc w:val="right"/>
                    <w:rPr>
                      <w:rFonts w:ascii="Arial" w:hAnsi="Arial" w:cs="Arial"/>
                      <w:sz w:val="20"/>
                      <w:szCs w:val="20"/>
                      <w:lang w:eastAsia="en-GB"/>
                    </w:rPr>
                  </w:pPr>
                  <w:r w:rsidRPr="00F12744">
                    <w:rPr>
                      <w:rFonts w:ascii="Arial" w:hAnsi="Arial" w:cs="Arial"/>
                      <w:sz w:val="20"/>
                      <w:szCs w:val="20"/>
                      <w:lang w:eastAsia="en-GB"/>
                    </w:rPr>
                    <w:t>7</w:t>
                  </w:r>
                  <w:r w:rsidR="00D03C2A">
                    <w:rPr>
                      <w:rFonts w:ascii="Arial" w:hAnsi="Arial" w:cs="Arial"/>
                      <w:sz w:val="20"/>
                      <w:szCs w:val="20"/>
                      <w:lang w:eastAsia="en-GB"/>
                    </w:rPr>
                    <w:t>8.9</w:t>
                  </w:r>
                </w:p>
              </w:tc>
              <w:tc>
                <w:tcPr>
                  <w:tcW w:w="1417" w:type="dxa"/>
                  <w:tcBorders>
                    <w:top w:val="nil"/>
                    <w:left w:val="nil"/>
                    <w:bottom w:val="single" w:sz="4" w:space="0" w:color="auto"/>
                    <w:right w:val="single" w:sz="4" w:space="0" w:color="auto"/>
                  </w:tcBorders>
                  <w:shd w:val="clear" w:color="auto" w:fill="auto"/>
                  <w:noWrap/>
                  <w:hideMark/>
                </w:tcPr>
                <w:p w14:paraId="10A558E5" w14:textId="3FE8B1DA" w:rsidR="00F12744" w:rsidRPr="00F12744" w:rsidRDefault="00F12744" w:rsidP="00F12744">
                  <w:pPr>
                    <w:jc w:val="right"/>
                    <w:rPr>
                      <w:rFonts w:ascii="Arial" w:hAnsi="Arial" w:cs="Arial"/>
                      <w:sz w:val="20"/>
                      <w:szCs w:val="20"/>
                      <w:lang w:eastAsia="en-GB"/>
                    </w:rPr>
                  </w:pPr>
                  <w:r w:rsidRPr="00F12744">
                    <w:rPr>
                      <w:rFonts w:ascii="Arial" w:hAnsi="Arial" w:cs="Arial"/>
                      <w:sz w:val="20"/>
                      <w:szCs w:val="20"/>
                      <w:lang w:eastAsia="en-GB"/>
                    </w:rPr>
                    <w:t>6</w:t>
                  </w:r>
                  <w:r w:rsidR="00D03C2A">
                    <w:rPr>
                      <w:rFonts w:ascii="Arial" w:hAnsi="Arial" w:cs="Arial"/>
                      <w:sz w:val="20"/>
                      <w:szCs w:val="20"/>
                      <w:lang w:eastAsia="en-GB"/>
                    </w:rPr>
                    <w:t>2.9</w:t>
                  </w:r>
                </w:p>
              </w:tc>
              <w:tc>
                <w:tcPr>
                  <w:tcW w:w="992" w:type="dxa"/>
                  <w:tcBorders>
                    <w:top w:val="nil"/>
                    <w:left w:val="nil"/>
                    <w:bottom w:val="single" w:sz="4" w:space="0" w:color="auto"/>
                    <w:right w:val="single" w:sz="4" w:space="0" w:color="auto"/>
                  </w:tcBorders>
                  <w:shd w:val="clear" w:color="auto" w:fill="auto"/>
                  <w:noWrap/>
                  <w:hideMark/>
                </w:tcPr>
                <w:p w14:paraId="3250098E" w14:textId="1597E74C" w:rsidR="00F12744" w:rsidRPr="00F12744" w:rsidRDefault="00F12744" w:rsidP="00F12744">
                  <w:pPr>
                    <w:jc w:val="right"/>
                    <w:rPr>
                      <w:rFonts w:ascii="Arial" w:hAnsi="Arial" w:cs="Arial"/>
                      <w:sz w:val="20"/>
                      <w:szCs w:val="20"/>
                      <w:lang w:eastAsia="en-GB"/>
                    </w:rPr>
                  </w:pPr>
                  <w:r w:rsidRPr="00F12744">
                    <w:rPr>
                      <w:rFonts w:ascii="Arial" w:hAnsi="Arial" w:cs="Arial"/>
                      <w:sz w:val="20"/>
                      <w:szCs w:val="20"/>
                      <w:lang w:eastAsia="en-GB"/>
                    </w:rPr>
                    <w:t>6</w:t>
                  </w:r>
                  <w:r w:rsidR="00D03C2A">
                    <w:rPr>
                      <w:rFonts w:ascii="Arial" w:hAnsi="Arial" w:cs="Arial"/>
                      <w:sz w:val="20"/>
                      <w:szCs w:val="20"/>
                      <w:lang w:eastAsia="en-GB"/>
                    </w:rPr>
                    <w:t>9.8</w:t>
                  </w:r>
                </w:p>
              </w:tc>
              <w:tc>
                <w:tcPr>
                  <w:tcW w:w="751" w:type="dxa"/>
                  <w:tcBorders>
                    <w:top w:val="nil"/>
                    <w:left w:val="nil"/>
                    <w:bottom w:val="single" w:sz="4" w:space="0" w:color="auto"/>
                    <w:right w:val="single" w:sz="4" w:space="0" w:color="auto"/>
                  </w:tcBorders>
                  <w:shd w:val="clear" w:color="auto" w:fill="auto"/>
                  <w:noWrap/>
                  <w:hideMark/>
                </w:tcPr>
                <w:p w14:paraId="438B678D" w14:textId="2077E01D" w:rsidR="00F12744" w:rsidRPr="00F12744" w:rsidRDefault="00D03C2A" w:rsidP="00F12744">
                  <w:pPr>
                    <w:jc w:val="right"/>
                    <w:rPr>
                      <w:rFonts w:ascii="Arial" w:hAnsi="Arial" w:cs="Arial"/>
                      <w:sz w:val="20"/>
                      <w:szCs w:val="20"/>
                      <w:lang w:eastAsia="en-GB"/>
                    </w:rPr>
                  </w:pPr>
                  <w:r>
                    <w:rPr>
                      <w:rFonts w:ascii="Arial" w:hAnsi="Arial" w:cs="Arial"/>
                      <w:sz w:val="20"/>
                      <w:szCs w:val="20"/>
                      <w:lang w:eastAsia="en-GB"/>
                    </w:rPr>
                    <w:t>70.8</w:t>
                  </w:r>
                </w:p>
              </w:tc>
            </w:tr>
            <w:tr w:rsidR="00F12744" w:rsidRPr="00F12744" w14:paraId="7AE56738" w14:textId="77777777" w:rsidTr="00F12744">
              <w:trPr>
                <w:trHeight w:val="30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4B59A5D1" w14:textId="77777777" w:rsidR="00F12744" w:rsidRPr="00F12744" w:rsidRDefault="00F12744" w:rsidP="00F12744">
                  <w:pPr>
                    <w:jc w:val="center"/>
                    <w:rPr>
                      <w:rFonts w:ascii="Arial" w:hAnsi="Arial" w:cs="Arial"/>
                      <w:b/>
                      <w:bCs/>
                      <w:sz w:val="20"/>
                      <w:szCs w:val="20"/>
                      <w:lang w:eastAsia="en-GB"/>
                    </w:rPr>
                  </w:pPr>
                  <w:r w:rsidRPr="00F12744">
                    <w:rPr>
                      <w:rFonts w:ascii="Arial" w:hAnsi="Arial" w:cs="Arial"/>
                      <w:b/>
                      <w:bCs/>
                      <w:sz w:val="20"/>
                      <w:szCs w:val="20"/>
                      <w:lang w:eastAsia="en-GB"/>
                    </w:rPr>
                    <w:t>Year</w:t>
                  </w:r>
                </w:p>
              </w:tc>
              <w:tc>
                <w:tcPr>
                  <w:tcW w:w="6778" w:type="dxa"/>
                  <w:gridSpan w:val="7"/>
                  <w:tcBorders>
                    <w:top w:val="single" w:sz="4" w:space="0" w:color="auto"/>
                    <w:left w:val="nil"/>
                    <w:bottom w:val="single" w:sz="4" w:space="0" w:color="auto"/>
                    <w:right w:val="single" w:sz="4" w:space="0" w:color="auto"/>
                  </w:tcBorders>
                  <w:shd w:val="clear" w:color="auto" w:fill="auto"/>
                  <w:noWrap/>
                  <w:vAlign w:val="bottom"/>
                  <w:hideMark/>
                </w:tcPr>
                <w:p w14:paraId="493B16C5" w14:textId="77777777" w:rsidR="00F12744" w:rsidRPr="00F12744" w:rsidRDefault="00F12744" w:rsidP="00F12744">
                  <w:pPr>
                    <w:jc w:val="cente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Employment gap</w:t>
                  </w:r>
                </w:p>
              </w:tc>
            </w:tr>
            <w:tr w:rsidR="00F12744" w:rsidRPr="00F12744" w14:paraId="4437B6E6" w14:textId="77777777" w:rsidTr="00F12744">
              <w:trPr>
                <w:trHeight w:val="900"/>
              </w:trPr>
              <w:tc>
                <w:tcPr>
                  <w:tcW w:w="661" w:type="dxa"/>
                  <w:vMerge/>
                  <w:tcBorders>
                    <w:top w:val="nil"/>
                    <w:left w:val="single" w:sz="4" w:space="0" w:color="auto"/>
                    <w:bottom w:val="single" w:sz="4" w:space="0" w:color="auto"/>
                    <w:right w:val="single" w:sz="4" w:space="0" w:color="auto"/>
                  </w:tcBorders>
                  <w:vAlign w:val="center"/>
                  <w:hideMark/>
                </w:tcPr>
                <w:p w14:paraId="4DB5BF83" w14:textId="77777777" w:rsidR="00F12744" w:rsidRPr="00F12744" w:rsidRDefault="00F12744" w:rsidP="00F12744">
                  <w:pPr>
                    <w:rPr>
                      <w:rFonts w:ascii="Arial" w:hAnsi="Arial" w:cs="Arial"/>
                      <w:sz w:val="20"/>
                      <w:szCs w:val="20"/>
                      <w:lang w:eastAsia="en-GB"/>
                    </w:rPr>
                  </w:pPr>
                </w:p>
              </w:tc>
              <w:tc>
                <w:tcPr>
                  <w:tcW w:w="968" w:type="dxa"/>
                  <w:tcBorders>
                    <w:top w:val="nil"/>
                    <w:left w:val="nil"/>
                    <w:bottom w:val="single" w:sz="4" w:space="0" w:color="auto"/>
                    <w:right w:val="single" w:sz="4" w:space="0" w:color="auto"/>
                  </w:tcBorders>
                  <w:shd w:val="clear" w:color="000000" w:fill="000000"/>
                  <w:noWrap/>
                  <w:vAlign w:val="bottom"/>
                  <w:hideMark/>
                </w:tcPr>
                <w:p w14:paraId="5080DB48" w14:textId="77777777" w:rsidR="00F12744" w:rsidRPr="00F12744" w:rsidRDefault="00F12744" w:rsidP="00F12744">
                  <w:pPr>
                    <w:rPr>
                      <w:rFonts w:ascii="Calibri" w:hAnsi="Calibri" w:cs="Calibri"/>
                      <w:color w:val="000000"/>
                      <w:sz w:val="22"/>
                      <w:szCs w:val="22"/>
                      <w:lang w:eastAsia="en-GB"/>
                    </w:rPr>
                  </w:pPr>
                  <w:r w:rsidRPr="00F12744">
                    <w:rPr>
                      <w:rFonts w:ascii="Calibri" w:hAnsi="Calibri" w:cs="Calibri"/>
                      <w:color w:val="000000"/>
                      <w:sz w:val="22"/>
                      <w:szCs w:val="22"/>
                      <w:lang w:eastAsia="en-GB"/>
                    </w:rPr>
                    <w:t> </w:t>
                  </w:r>
                </w:p>
              </w:tc>
              <w:tc>
                <w:tcPr>
                  <w:tcW w:w="968" w:type="dxa"/>
                  <w:tcBorders>
                    <w:top w:val="nil"/>
                    <w:left w:val="nil"/>
                    <w:bottom w:val="single" w:sz="4" w:space="0" w:color="auto"/>
                    <w:right w:val="single" w:sz="4" w:space="0" w:color="auto"/>
                  </w:tcBorders>
                  <w:shd w:val="clear" w:color="auto" w:fill="auto"/>
                  <w:vAlign w:val="bottom"/>
                  <w:hideMark/>
                </w:tcPr>
                <w:p w14:paraId="7A693910"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Other than White</w:t>
                  </w:r>
                </w:p>
              </w:tc>
              <w:tc>
                <w:tcPr>
                  <w:tcW w:w="831" w:type="dxa"/>
                  <w:tcBorders>
                    <w:top w:val="nil"/>
                    <w:left w:val="nil"/>
                    <w:bottom w:val="single" w:sz="4" w:space="0" w:color="auto"/>
                    <w:right w:val="single" w:sz="4" w:space="0" w:color="auto"/>
                  </w:tcBorders>
                  <w:shd w:val="clear" w:color="auto" w:fill="auto"/>
                  <w:vAlign w:val="bottom"/>
                  <w:hideMark/>
                </w:tcPr>
                <w:p w14:paraId="31BF07D6"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Mixed</w:t>
                  </w:r>
                </w:p>
              </w:tc>
              <w:tc>
                <w:tcPr>
                  <w:tcW w:w="851" w:type="dxa"/>
                  <w:tcBorders>
                    <w:top w:val="nil"/>
                    <w:left w:val="nil"/>
                    <w:bottom w:val="single" w:sz="4" w:space="0" w:color="auto"/>
                    <w:right w:val="single" w:sz="4" w:space="0" w:color="auto"/>
                  </w:tcBorders>
                  <w:shd w:val="clear" w:color="auto" w:fill="auto"/>
                  <w:vAlign w:val="bottom"/>
                  <w:hideMark/>
                </w:tcPr>
                <w:p w14:paraId="089C5B50"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Indian</w:t>
                  </w:r>
                </w:p>
              </w:tc>
              <w:tc>
                <w:tcPr>
                  <w:tcW w:w="1417" w:type="dxa"/>
                  <w:tcBorders>
                    <w:top w:val="nil"/>
                    <w:left w:val="nil"/>
                    <w:bottom w:val="single" w:sz="4" w:space="0" w:color="auto"/>
                    <w:right w:val="single" w:sz="4" w:space="0" w:color="auto"/>
                  </w:tcBorders>
                  <w:shd w:val="clear" w:color="auto" w:fill="auto"/>
                  <w:vAlign w:val="bottom"/>
                  <w:hideMark/>
                </w:tcPr>
                <w:p w14:paraId="7167B2DF" w14:textId="277D7144"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Pakistani/ Bangladeshi</w:t>
                  </w:r>
                </w:p>
              </w:tc>
              <w:tc>
                <w:tcPr>
                  <w:tcW w:w="992" w:type="dxa"/>
                  <w:tcBorders>
                    <w:top w:val="nil"/>
                    <w:left w:val="nil"/>
                    <w:bottom w:val="single" w:sz="4" w:space="0" w:color="auto"/>
                    <w:right w:val="single" w:sz="4" w:space="0" w:color="auto"/>
                  </w:tcBorders>
                  <w:shd w:val="clear" w:color="auto" w:fill="auto"/>
                  <w:vAlign w:val="bottom"/>
                  <w:hideMark/>
                </w:tcPr>
                <w:p w14:paraId="324618A9"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Black or Black British</w:t>
                  </w:r>
                </w:p>
              </w:tc>
              <w:tc>
                <w:tcPr>
                  <w:tcW w:w="751" w:type="dxa"/>
                  <w:tcBorders>
                    <w:top w:val="nil"/>
                    <w:left w:val="nil"/>
                    <w:bottom w:val="single" w:sz="4" w:space="0" w:color="auto"/>
                    <w:right w:val="single" w:sz="4" w:space="0" w:color="auto"/>
                  </w:tcBorders>
                  <w:shd w:val="clear" w:color="auto" w:fill="auto"/>
                  <w:vAlign w:val="bottom"/>
                  <w:hideMark/>
                </w:tcPr>
                <w:p w14:paraId="462CEAC7" w14:textId="77777777" w:rsidR="00F12744" w:rsidRPr="00F12744" w:rsidRDefault="00F12744" w:rsidP="00F12744">
                  <w:pPr>
                    <w:rPr>
                      <w:rFonts w:ascii="Calibri" w:hAnsi="Calibri" w:cs="Calibri"/>
                      <w:b/>
                      <w:bCs/>
                      <w:color w:val="000000"/>
                      <w:sz w:val="22"/>
                      <w:szCs w:val="22"/>
                      <w:lang w:eastAsia="en-GB"/>
                    </w:rPr>
                  </w:pPr>
                  <w:r w:rsidRPr="00F12744">
                    <w:rPr>
                      <w:rFonts w:ascii="Calibri" w:hAnsi="Calibri" w:cs="Calibri"/>
                      <w:b/>
                      <w:bCs/>
                      <w:color w:val="000000"/>
                      <w:sz w:val="22"/>
                      <w:szCs w:val="22"/>
                      <w:lang w:eastAsia="en-GB"/>
                    </w:rPr>
                    <w:t>Other</w:t>
                  </w:r>
                </w:p>
              </w:tc>
            </w:tr>
            <w:tr w:rsidR="00F12744" w:rsidRPr="00F12744" w14:paraId="4DC9ABD9" w14:textId="77777777" w:rsidTr="00F12744">
              <w:trPr>
                <w:trHeight w:val="300"/>
              </w:trPr>
              <w:tc>
                <w:tcPr>
                  <w:tcW w:w="661" w:type="dxa"/>
                  <w:tcBorders>
                    <w:top w:val="nil"/>
                    <w:left w:val="single" w:sz="4" w:space="0" w:color="auto"/>
                    <w:bottom w:val="single" w:sz="4" w:space="0" w:color="auto"/>
                    <w:right w:val="single" w:sz="4" w:space="0" w:color="auto"/>
                  </w:tcBorders>
                  <w:shd w:val="clear" w:color="auto" w:fill="auto"/>
                  <w:noWrap/>
                  <w:hideMark/>
                </w:tcPr>
                <w:p w14:paraId="287070E5" w14:textId="77777777" w:rsidR="00F12744" w:rsidRPr="00F12744" w:rsidRDefault="00F12744" w:rsidP="00F12744">
                  <w:pPr>
                    <w:rPr>
                      <w:rFonts w:ascii="Arial" w:hAnsi="Arial" w:cs="Arial"/>
                      <w:sz w:val="20"/>
                      <w:szCs w:val="20"/>
                      <w:lang w:eastAsia="en-GB"/>
                    </w:rPr>
                  </w:pPr>
                  <w:r w:rsidRPr="00F12744">
                    <w:rPr>
                      <w:rFonts w:ascii="Arial" w:hAnsi="Arial" w:cs="Arial"/>
                      <w:sz w:val="20"/>
                      <w:szCs w:val="20"/>
                      <w:lang w:eastAsia="en-GB"/>
                    </w:rPr>
                    <w:t>2020</w:t>
                  </w:r>
                </w:p>
              </w:tc>
              <w:tc>
                <w:tcPr>
                  <w:tcW w:w="968" w:type="dxa"/>
                  <w:tcBorders>
                    <w:top w:val="nil"/>
                    <w:left w:val="nil"/>
                    <w:bottom w:val="single" w:sz="4" w:space="0" w:color="auto"/>
                    <w:right w:val="single" w:sz="4" w:space="0" w:color="auto"/>
                  </w:tcBorders>
                  <w:shd w:val="clear" w:color="000000" w:fill="000000"/>
                  <w:noWrap/>
                  <w:vAlign w:val="bottom"/>
                  <w:hideMark/>
                </w:tcPr>
                <w:p w14:paraId="7CA7C4C6" w14:textId="77777777" w:rsidR="00F12744" w:rsidRPr="00F12744" w:rsidRDefault="00F12744" w:rsidP="00F12744">
                  <w:pPr>
                    <w:rPr>
                      <w:rFonts w:ascii="Calibri" w:hAnsi="Calibri" w:cs="Calibri"/>
                      <w:color w:val="000000"/>
                      <w:sz w:val="22"/>
                      <w:szCs w:val="22"/>
                      <w:lang w:eastAsia="en-GB"/>
                    </w:rPr>
                  </w:pPr>
                  <w:r w:rsidRPr="00F12744">
                    <w:rPr>
                      <w:rFonts w:ascii="Calibri" w:hAnsi="Calibri" w:cs="Calibri"/>
                      <w:color w:val="000000"/>
                      <w:sz w:val="22"/>
                      <w:szCs w:val="22"/>
                      <w:lang w:eastAsia="en-GB"/>
                    </w:rPr>
                    <w:t> </w:t>
                  </w:r>
                </w:p>
              </w:tc>
              <w:tc>
                <w:tcPr>
                  <w:tcW w:w="968" w:type="dxa"/>
                  <w:tcBorders>
                    <w:top w:val="nil"/>
                    <w:left w:val="nil"/>
                    <w:bottom w:val="single" w:sz="4" w:space="0" w:color="auto"/>
                    <w:right w:val="single" w:sz="4" w:space="0" w:color="auto"/>
                  </w:tcBorders>
                  <w:shd w:val="clear" w:color="auto" w:fill="auto"/>
                  <w:noWrap/>
                  <w:vAlign w:val="bottom"/>
                  <w:hideMark/>
                </w:tcPr>
                <w:p w14:paraId="4B34D9FD" w14:textId="2437DC73"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-10.</w:t>
                  </w:r>
                  <w:r w:rsidR="00D03C2A">
                    <w:rPr>
                      <w:rFonts w:ascii="Calibri" w:hAnsi="Calibri" w:cs="Calibri"/>
                      <w:color w:val="000000"/>
                      <w:sz w:val="22"/>
                      <w:szCs w:val="22"/>
                      <w:lang w:eastAsia="en-GB"/>
                    </w:rPr>
                    <w:t>5</w:t>
                  </w:r>
                </w:p>
              </w:tc>
              <w:tc>
                <w:tcPr>
                  <w:tcW w:w="831" w:type="dxa"/>
                  <w:tcBorders>
                    <w:top w:val="nil"/>
                    <w:left w:val="nil"/>
                    <w:bottom w:val="single" w:sz="4" w:space="0" w:color="auto"/>
                    <w:right w:val="single" w:sz="4" w:space="0" w:color="auto"/>
                  </w:tcBorders>
                  <w:shd w:val="clear" w:color="auto" w:fill="auto"/>
                  <w:noWrap/>
                  <w:vAlign w:val="bottom"/>
                  <w:hideMark/>
                </w:tcPr>
                <w:p w14:paraId="459B94B4" w14:textId="7849D300"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-8.</w:t>
                  </w:r>
                  <w:r w:rsidR="00D03C2A">
                    <w:rPr>
                      <w:rFonts w:ascii="Calibri" w:hAnsi="Calibri" w:cs="Calibri"/>
                      <w:color w:val="000000"/>
                      <w:sz w:val="22"/>
                      <w:szCs w:val="22"/>
                      <w:lang w:eastAsia="en-GB"/>
                    </w:rPr>
                    <w:t>6</w:t>
                  </w:r>
                </w:p>
              </w:tc>
              <w:tc>
                <w:tcPr>
                  <w:tcW w:w="851" w:type="dxa"/>
                  <w:tcBorders>
                    <w:top w:val="nil"/>
                    <w:left w:val="nil"/>
                    <w:bottom w:val="single" w:sz="4" w:space="0" w:color="auto"/>
                    <w:right w:val="single" w:sz="4" w:space="0" w:color="auto"/>
                  </w:tcBorders>
                  <w:shd w:val="clear" w:color="auto" w:fill="auto"/>
                  <w:noWrap/>
                  <w:vAlign w:val="bottom"/>
                  <w:hideMark/>
                </w:tcPr>
                <w:p w14:paraId="7CA49667" w14:textId="0FB03316"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-1.</w:t>
                  </w:r>
                  <w:r w:rsidR="00D03C2A">
                    <w:rPr>
                      <w:rFonts w:ascii="Calibri" w:hAnsi="Calibri" w:cs="Calibri"/>
                      <w:color w:val="000000"/>
                      <w:sz w:val="22"/>
                      <w:szCs w:val="22"/>
                      <w:lang w:eastAsia="en-GB"/>
                    </w:rPr>
                    <w:t>4</w:t>
                  </w:r>
                </w:p>
              </w:tc>
              <w:tc>
                <w:tcPr>
                  <w:tcW w:w="1417" w:type="dxa"/>
                  <w:tcBorders>
                    <w:top w:val="nil"/>
                    <w:left w:val="nil"/>
                    <w:bottom w:val="single" w:sz="4" w:space="0" w:color="auto"/>
                    <w:right w:val="single" w:sz="4" w:space="0" w:color="auto"/>
                  </w:tcBorders>
                  <w:shd w:val="clear" w:color="auto" w:fill="auto"/>
                  <w:noWrap/>
                  <w:vAlign w:val="bottom"/>
                  <w:hideMark/>
                </w:tcPr>
                <w:p w14:paraId="512AE587" w14:textId="5DBFCD2E"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-19.</w:t>
                  </w:r>
                  <w:r w:rsidR="00D03C2A">
                    <w:rPr>
                      <w:rFonts w:ascii="Calibri" w:hAnsi="Calibri" w:cs="Calibri"/>
                      <w:color w:val="000000"/>
                      <w:sz w:val="22"/>
                      <w:szCs w:val="22"/>
                      <w:lang w:eastAsia="en-GB"/>
                    </w:rPr>
                    <w:t>4</w:t>
                  </w:r>
                </w:p>
              </w:tc>
              <w:tc>
                <w:tcPr>
                  <w:tcW w:w="992" w:type="dxa"/>
                  <w:tcBorders>
                    <w:top w:val="nil"/>
                    <w:left w:val="nil"/>
                    <w:bottom w:val="single" w:sz="4" w:space="0" w:color="auto"/>
                    <w:right w:val="single" w:sz="4" w:space="0" w:color="auto"/>
                  </w:tcBorders>
                  <w:shd w:val="clear" w:color="auto" w:fill="auto"/>
                  <w:noWrap/>
                  <w:vAlign w:val="bottom"/>
                  <w:hideMark/>
                </w:tcPr>
                <w:p w14:paraId="75B44C79" w14:textId="7DA4D6F4"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-13.</w:t>
                  </w:r>
                  <w:r w:rsidR="00D03C2A">
                    <w:rPr>
                      <w:rFonts w:ascii="Calibri" w:hAnsi="Calibri" w:cs="Calibri"/>
                      <w:color w:val="000000"/>
                      <w:sz w:val="22"/>
                      <w:szCs w:val="22"/>
                      <w:lang w:eastAsia="en-GB"/>
                    </w:rPr>
                    <w:t>5</w:t>
                  </w:r>
                </w:p>
              </w:tc>
              <w:tc>
                <w:tcPr>
                  <w:tcW w:w="751" w:type="dxa"/>
                  <w:tcBorders>
                    <w:top w:val="nil"/>
                    <w:left w:val="nil"/>
                    <w:bottom w:val="single" w:sz="4" w:space="0" w:color="auto"/>
                    <w:right w:val="single" w:sz="4" w:space="0" w:color="auto"/>
                  </w:tcBorders>
                  <w:shd w:val="clear" w:color="auto" w:fill="auto"/>
                  <w:noWrap/>
                  <w:vAlign w:val="bottom"/>
                  <w:hideMark/>
                </w:tcPr>
                <w:p w14:paraId="20E6B565" w14:textId="7F46ECAB"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-10.</w:t>
                  </w:r>
                  <w:r w:rsidR="00D03C2A">
                    <w:rPr>
                      <w:rFonts w:ascii="Calibri" w:hAnsi="Calibri" w:cs="Calibri"/>
                      <w:color w:val="000000"/>
                      <w:sz w:val="22"/>
                      <w:szCs w:val="22"/>
                      <w:lang w:eastAsia="en-GB"/>
                    </w:rPr>
                    <w:t>5</w:t>
                  </w:r>
                </w:p>
              </w:tc>
            </w:tr>
            <w:tr w:rsidR="00D03C2A" w:rsidRPr="00F12744" w14:paraId="78D99272" w14:textId="77777777" w:rsidTr="00F12744">
              <w:trPr>
                <w:trHeight w:val="300"/>
              </w:trPr>
              <w:tc>
                <w:tcPr>
                  <w:tcW w:w="661" w:type="dxa"/>
                  <w:tcBorders>
                    <w:top w:val="nil"/>
                    <w:left w:val="single" w:sz="4" w:space="0" w:color="auto"/>
                    <w:bottom w:val="single" w:sz="4" w:space="0" w:color="auto"/>
                    <w:right w:val="single" w:sz="4" w:space="0" w:color="auto"/>
                  </w:tcBorders>
                  <w:shd w:val="clear" w:color="auto" w:fill="auto"/>
                  <w:noWrap/>
                </w:tcPr>
                <w:p w14:paraId="7C5DA5FA" w14:textId="533260F5" w:rsidR="00D03C2A" w:rsidRPr="00F12744" w:rsidRDefault="00D03C2A" w:rsidP="00F12744">
                  <w:pPr>
                    <w:rPr>
                      <w:rFonts w:ascii="Arial" w:hAnsi="Arial" w:cs="Arial"/>
                      <w:sz w:val="20"/>
                      <w:szCs w:val="20"/>
                      <w:lang w:eastAsia="en-GB"/>
                    </w:rPr>
                  </w:pPr>
                  <w:r>
                    <w:rPr>
                      <w:rFonts w:ascii="Arial" w:hAnsi="Arial" w:cs="Arial"/>
                      <w:sz w:val="20"/>
                      <w:szCs w:val="20"/>
                      <w:lang w:eastAsia="en-GB"/>
                    </w:rPr>
                    <w:t>2021</w:t>
                  </w:r>
                </w:p>
              </w:tc>
              <w:tc>
                <w:tcPr>
                  <w:tcW w:w="968" w:type="dxa"/>
                  <w:tcBorders>
                    <w:top w:val="nil"/>
                    <w:left w:val="nil"/>
                    <w:bottom w:val="single" w:sz="4" w:space="0" w:color="auto"/>
                    <w:right w:val="single" w:sz="4" w:space="0" w:color="auto"/>
                  </w:tcBorders>
                  <w:shd w:val="clear" w:color="000000" w:fill="000000"/>
                  <w:noWrap/>
                  <w:vAlign w:val="bottom"/>
                </w:tcPr>
                <w:p w14:paraId="2FB55032" w14:textId="77777777" w:rsidR="00D03C2A" w:rsidRPr="00F12744" w:rsidRDefault="00D03C2A" w:rsidP="00F12744">
                  <w:pPr>
                    <w:rPr>
                      <w:rFonts w:ascii="Calibri" w:hAnsi="Calibri" w:cs="Calibri"/>
                      <w:color w:val="000000"/>
                      <w:sz w:val="22"/>
                      <w:szCs w:val="22"/>
                      <w:lang w:eastAsia="en-GB"/>
                    </w:rPr>
                  </w:pPr>
                </w:p>
              </w:tc>
              <w:tc>
                <w:tcPr>
                  <w:tcW w:w="968" w:type="dxa"/>
                  <w:tcBorders>
                    <w:top w:val="nil"/>
                    <w:left w:val="nil"/>
                    <w:bottom w:val="single" w:sz="4" w:space="0" w:color="auto"/>
                    <w:right w:val="single" w:sz="4" w:space="0" w:color="auto"/>
                  </w:tcBorders>
                  <w:shd w:val="clear" w:color="auto" w:fill="auto"/>
                  <w:noWrap/>
                  <w:vAlign w:val="bottom"/>
                </w:tcPr>
                <w:p w14:paraId="59D2690D" w14:textId="013F3931" w:rsidR="00D03C2A" w:rsidRPr="00F12744" w:rsidRDefault="00D03C2A" w:rsidP="00F12744">
                  <w:pPr>
                    <w:jc w:val="right"/>
                    <w:rPr>
                      <w:rFonts w:ascii="Calibri" w:hAnsi="Calibri" w:cs="Calibri"/>
                      <w:color w:val="000000"/>
                      <w:sz w:val="22"/>
                      <w:szCs w:val="22"/>
                      <w:lang w:eastAsia="en-GB"/>
                    </w:rPr>
                  </w:pPr>
                  <w:r>
                    <w:rPr>
                      <w:rFonts w:ascii="Calibri" w:hAnsi="Calibri" w:cs="Calibri"/>
                      <w:color w:val="000000"/>
                      <w:sz w:val="22"/>
                      <w:szCs w:val="22"/>
                      <w:lang w:eastAsia="en-GB"/>
                    </w:rPr>
                    <w:t>-10.1</w:t>
                  </w:r>
                </w:p>
              </w:tc>
              <w:tc>
                <w:tcPr>
                  <w:tcW w:w="831" w:type="dxa"/>
                  <w:tcBorders>
                    <w:top w:val="nil"/>
                    <w:left w:val="nil"/>
                    <w:bottom w:val="single" w:sz="4" w:space="0" w:color="auto"/>
                    <w:right w:val="single" w:sz="4" w:space="0" w:color="auto"/>
                  </w:tcBorders>
                  <w:shd w:val="clear" w:color="auto" w:fill="auto"/>
                  <w:noWrap/>
                  <w:vAlign w:val="bottom"/>
                </w:tcPr>
                <w:p w14:paraId="7814FE39" w14:textId="7EEFEFB0" w:rsidR="00D03C2A" w:rsidRPr="00F12744" w:rsidRDefault="00D03C2A" w:rsidP="00F12744">
                  <w:pPr>
                    <w:jc w:val="right"/>
                    <w:rPr>
                      <w:rFonts w:ascii="Calibri" w:hAnsi="Calibri" w:cs="Calibri"/>
                      <w:color w:val="000000"/>
                      <w:sz w:val="22"/>
                      <w:szCs w:val="22"/>
                      <w:lang w:eastAsia="en-GB"/>
                    </w:rPr>
                  </w:pPr>
                  <w:r>
                    <w:rPr>
                      <w:rFonts w:ascii="Calibri" w:hAnsi="Calibri" w:cs="Calibri"/>
                      <w:color w:val="000000"/>
                      <w:sz w:val="22"/>
                      <w:szCs w:val="22"/>
                      <w:lang w:eastAsia="en-GB"/>
                    </w:rPr>
                    <w:t>-14.9</w:t>
                  </w:r>
                </w:p>
              </w:tc>
              <w:tc>
                <w:tcPr>
                  <w:tcW w:w="851" w:type="dxa"/>
                  <w:tcBorders>
                    <w:top w:val="nil"/>
                    <w:left w:val="nil"/>
                    <w:bottom w:val="single" w:sz="4" w:space="0" w:color="auto"/>
                    <w:right w:val="single" w:sz="4" w:space="0" w:color="auto"/>
                  </w:tcBorders>
                  <w:shd w:val="clear" w:color="auto" w:fill="auto"/>
                  <w:noWrap/>
                  <w:vAlign w:val="bottom"/>
                </w:tcPr>
                <w:p w14:paraId="5869BD21" w14:textId="58D6BA56" w:rsidR="00D03C2A" w:rsidRPr="00F12744" w:rsidRDefault="00D03C2A" w:rsidP="00F12744">
                  <w:pPr>
                    <w:jc w:val="right"/>
                    <w:rPr>
                      <w:rFonts w:ascii="Calibri" w:hAnsi="Calibri" w:cs="Calibri"/>
                      <w:color w:val="000000"/>
                      <w:sz w:val="22"/>
                      <w:szCs w:val="22"/>
                      <w:lang w:eastAsia="en-GB"/>
                    </w:rPr>
                  </w:pPr>
                  <w:r>
                    <w:rPr>
                      <w:rFonts w:ascii="Calibri" w:hAnsi="Calibri" w:cs="Calibri"/>
                      <w:color w:val="000000"/>
                      <w:sz w:val="22"/>
                      <w:szCs w:val="22"/>
                      <w:lang w:eastAsia="en-GB"/>
                    </w:rPr>
                    <w:t>1.0</w:t>
                  </w:r>
                </w:p>
              </w:tc>
              <w:tc>
                <w:tcPr>
                  <w:tcW w:w="1417" w:type="dxa"/>
                  <w:tcBorders>
                    <w:top w:val="nil"/>
                    <w:left w:val="nil"/>
                    <w:bottom w:val="single" w:sz="4" w:space="0" w:color="auto"/>
                    <w:right w:val="single" w:sz="4" w:space="0" w:color="auto"/>
                  </w:tcBorders>
                  <w:shd w:val="clear" w:color="auto" w:fill="auto"/>
                  <w:noWrap/>
                  <w:vAlign w:val="bottom"/>
                </w:tcPr>
                <w:p w14:paraId="6B896E88" w14:textId="7D0F2C48" w:rsidR="00D03C2A" w:rsidRPr="00F12744" w:rsidRDefault="00D03C2A" w:rsidP="00F12744">
                  <w:pPr>
                    <w:jc w:val="right"/>
                    <w:rPr>
                      <w:rFonts w:ascii="Calibri" w:hAnsi="Calibri" w:cs="Calibri"/>
                      <w:color w:val="000000"/>
                      <w:sz w:val="22"/>
                      <w:szCs w:val="22"/>
                      <w:lang w:eastAsia="en-GB"/>
                    </w:rPr>
                  </w:pPr>
                  <w:r>
                    <w:rPr>
                      <w:rFonts w:ascii="Calibri" w:hAnsi="Calibri" w:cs="Calibri"/>
                      <w:color w:val="000000"/>
                      <w:sz w:val="22"/>
                      <w:szCs w:val="22"/>
                      <w:lang w:eastAsia="en-GB"/>
                    </w:rPr>
                    <w:t>-18.0</w:t>
                  </w:r>
                </w:p>
              </w:tc>
              <w:tc>
                <w:tcPr>
                  <w:tcW w:w="992" w:type="dxa"/>
                  <w:tcBorders>
                    <w:top w:val="nil"/>
                    <w:left w:val="nil"/>
                    <w:bottom w:val="single" w:sz="4" w:space="0" w:color="auto"/>
                    <w:right w:val="single" w:sz="4" w:space="0" w:color="auto"/>
                  </w:tcBorders>
                  <w:shd w:val="clear" w:color="auto" w:fill="auto"/>
                  <w:noWrap/>
                  <w:vAlign w:val="bottom"/>
                </w:tcPr>
                <w:p w14:paraId="1262458E" w14:textId="6BF24ED5" w:rsidR="00D03C2A" w:rsidRPr="00F12744" w:rsidRDefault="00D03C2A" w:rsidP="00F12744">
                  <w:pPr>
                    <w:jc w:val="right"/>
                    <w:rPr>
                      <w:rFonts w:ascii="Calibri" w:hAnsi="Calibri" w:cs="Calibri"/>
                      <w:color w:val="000000"/>
                      <w:sz w:val="22"/>
                      <w:szCs w:val="22"/>
                      <w:lang w:eastAsia="en-GB"/>
                    </w:rPr>
                  </w:pPr>
                  <w:r>
                    <w:rPr>
                      <w:rFonts w:ascii="Calibri" w:hAnsi="Calibri" w:cs="Calibri"/>
                      <w:color w:val="000000"/>
                      <w:sz w:val="22"/>
                      <w:szCs w:val="22"/>
                      <w:lang w:eastAsia="en-GB"/>
                    </w:rPr>
                    <w:t>-11.5</w:t>
                  </w:r>
                </w:p>
              </w:tc>
              <w:tc>
                <w:tcPr>
                  <w:tcW w:w="751" w:type="dxa"/>
                  <w:tcBorders>
                    <w:top w:val="nil"/>
                    <w:left w:val="nil"/>
                    <w:bottom w:val="single" w:sz="4" w:space="0" w:color="auto"/>
                    <w:right w:val="single" w:sz="4" w:space="0" w:color="auto"/>
                  </w:tcBorders>
                  <w:shd w:val="clear" w:color="auto" w:fill="auto"/>
                  <w:noWrap/>
                  <w:vAlign w:val="bottom"/>
                </w:tcPr>
                <w:p w14:paraId="5F130CA9" w14:textId="43D466E9" w:rsidR="00D03C2A" w:rsidRPr="00F12744" w:rsidRDefault="00D03C2A" w:rsidP="00F12744">
                  <w:pPr>
                    <w:jc w:val="right"/>
                    <w:rPr>
                      <w:rFonts w:ascii="Calibri" w:hAnsi="Calibri" w:cs="Calibri"/>
                      <w:color w:val="000000"/>
                      <w:sz w:val="22"/>
                      <w:szCs w:val="22"/>
                      <w:lang w:eastAsia="en-GB"/>
                    </w:rPr>
                  </w:pPr>
                  <w:r>
                    <w:rPr>
                      <w:rFonts w:ascii="Calibri" w:hAnsi="Calibri" w:cs="Calibri"/>
                      <w:color w:val="000000"/>
                      <w:sz w:val="22"/>
                      <w:szCs w:val="22"/>
                      <w:lang w:eastAsia="en-GB"/>
                    </w:rPr>
                    <w:t>-10.1</w:t>
                  </w:r>
                </w:p>
              </w:tc>
            </w:tr>
            <w:tr w:rsidR="00F12744" w:rsidRPr="00F12744" w14:paraId="76601FE2" w14:textId="77777777" w:rsidTr="00F12744">
              <w:trPr>
                <w:trHeight w:val="300"/>
              </w:trPr>
              <w:tc>
                <w:tcPr>
                  <w:tcW w:w="661" w:type="dxa"/>
                  <w:tcBorders>
                    <w:top w:val="nil"/>
                    <w:left w:val="single" w:sz="4" w:space="0" w:color="auto"/>
                    <w:bottom w:val="single" w:sz="4" w:space="0" w:color="auto"/>
                    <w:right w:val="single" w:sz="4" w:space="0" w:color="auto"/>
                  </w:tcBorders>
                  <w:shd w:val="clear" w:color="auto" w:fill="auto"/>
                  <w:noWrap/>
                  <w:hideMark/>
                </w:tcPr>
                <w:p w14:paraId="4CD27A99" w14:textId="7E575978" w:rsidR="00F12744" w:rsidRPr="00F12744" w:rsidRDefault="00F12744" w:rsidP="00F12744">
                  <w:pPr>
                    <w:rPr>
                      <w:rFonts w:ascii="Arial" w:hAnsi="Arial" w:cs="Arial"/>
                      <w:sz w:val="20"/>
                      <w:szCs w:val="20"/>
                      <w:lang w:eastAsia="en-GB"/>
                    </w:rPr>
                  </w:pPr>
                  <w:r w:rsidRPr="00F12744">
                    <w:rPr>
                      <w:rFonts w:ascii="Arial" w:hAnsi="Arial" w:cs="Arial"/>
                      <w:sz w:val="20"/>
                      <w:szCs w:val="20"/>
                      <w:lang w:eastAsia="en-GB"/>
                    </w:rPr>
                    <w:t>202</w:t>
                  </w:r>
                  <w:r w:rsidR="00D03C2A">
                    <w:rPr>
                      <w:rFonts w:ascii="Arial" w:hAnsi="Arial" w:cs="Arial"/>
                      <w:sz w:val="20"/>
                      <w:szCs w:val="20"/>
                      <w:lang w:eastAsia="en-GB"/>
                    </w:rPr>
                    <w:t>2</w:t>
                  </w:r>
                </w:p>
              </w:tc>
              <w:tc>
                <w:tcPr>
                  <w:tcW w:w="968" w:type="dxa"/>
                  <w:tcBorders>
                    <w:top w:val="nil"/>
                    <w:left w:val="nil"/>
                    <w:bottom w:val="single" w:sz="4" w:space="0" w:color="auto"/>
                    <w:right w:val="single" w:sz="4" w:space="0" w:color="auto"/>
                  </w:tcBorders>
                  <w:shd w:val="clear" w:color="000000" w:fill="000000"/>
                  <w:noWrap/>
                  <w:vAlign w:val="bottom"/>
                  <w:hideMark/>
                </w:tcPr>
                <w:p w14:paraId="41B62675" w14:textId="77777777" w:rsidR="00F12744" w:rsidRPr="00F12744" w:rsidRDefault="00F12744" w:rsidP="00F12744">
                  <w:pPr>
                    <w:rPr>
                      <w:rFonts w:ascii="Calibri" w:hAnsi="Calibri" w:cs="Calibri"/>
                      <w:color w:val="000000"/>
                      <w:sz w:val="22"/>
                      <w:szCs w:val="22"/>
                      <w:lang w:eastAsia="en-GB"/>
                    </w:rPr>
                  </w:pPr>
                  <w:r w:rsidRPr="00F12744">
                    <w:rPr>
                      <w:rFonts w:ascii="Calibri" w:hAnsi="Calibri" w:cs="Calibri"/>
                      <w:color w:val="000000"/>
                      <w:sz w:val="22"/>
                      <w:szCs w:val="22"/>
                      <w:lang w:eastAsia="en-GB"/>
                    </w:rPr>
                    <w:t> </w:t>
                  </w:r>
                </w:p>
              </w:tc>
              <w:tc>
                <w:tcPr>
                  <w:tcW w:w="968" w:type="dxa"/>
                  <w:tcBorders>
                    <w:top w:val="nil"/>
                    <w:left w:val="nil"/>
                    <w:bottom w:val="single" w:sz="4" w:space="0" w:color="auto"/>
                    <w:right w:val="single" w:sz="4" w:space="0" w:color="auto"/>
                  </w:tcBorders>
                  <w:shd w:val="clear" w:color="auto" w:fill="auto"/>
                  <w:noWrap/>
                  <w:vAlign w:val="bottom"/>
                  <w:hideMark/>
                </w:tcPr>
                <w:p w14:paraId="03EE3F68" w14:textId="6A272B65"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w:t>
                  </w:r>
                  <w:r w:rsidR="00D03C2A">
                    <w:rPr>
                      <w:rFonts w:ascii="Calibri" w:hAnsi="Calibri" w:cs="Calibri"/>
                      <w:color w:val="000000"/>
                      <w:sz w:val="22"/>
                      <w:szCs w:val="22"/>
                      <w:lang w:eastAsia="en-GB"/>
                    </w:rPr>
                    <w:t>9.3</w:t>
                  </w:r>
                </w:p>
              </w:tc>
              <w:tc>
                <w:tcPr>
                  <w:tcW w:w="831" w:type="dxa"/>
                  <w:tcBorders>
                    <w:top w:val="nil"/>
                    <w:left w:val="nil"/>
                    <w:bottom w:val="single" w:sz="4" w:space="0" w:color="auto"/>
                    <w:right w:val="single" w:sz="4" w:space="0" w:color="auto"/>
                  </w:tcBorders>
                  <w:shd w:val="clear" w:color="auto" w:fill="auto"/>
                  <w:noWrap/>
                  <w:vAlign w:val="bottom"/>
                  <w:hideMark/>
                </w:tcPr>
                <w:p w14:paraId="660337A5" w14:textId="675B0C6A"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w:t>
                  </w:r>
                  <w:r w:rsidR="00D03C2A">
                    <w:rPr>
                      <w:rFonts w:ascii="Calibri" w:hAnsi="Calibri" w:cs="Calibri"/>
                      <w:color w:val="000000"/>
                      <w:sz w:val="22"/>
                      <w:szCs w:val="22"/>
                      <w:lang w:eastAsia="en-GB"/>
                    </w:rPr>
                    <w:t>9.3</w:t>
                  </w:r>
                </w:p>
              </w:tc>
              <w:tc>
                <w:tcPr>
                  <w:tcW w:w="851" w:type="dxa"/>
                  <w:tcBorders>
                    <w:top w:val="nil"/>
                    <w:left w:val="nil"/>
                    <w:bottom w:val="single" w:sz="4" w:space="0" w:color="auto"/>
                    <w:right w:val="single" w:sz="4" w:space="0" w:color="auto"/>
                  </w:tcBorders>
                  <w:shd w:val="clear" w:color="auto" w:fill="auto"/>
                  <w:noWrap/>
                  <w:vAlign w:val="bottom"/>
                  <w:hideMark/>
                </w:tcPr>
                <w:p w14:paraId="247A9DFE" w14:textId="639CC068" w:rsidR="00F12744" w:rsidRPr="00F12744" w:rsidRDefault="00D03C2A" w:rsidP="00F12744">
                  <w:pPr>
                    <w:jc w:val="right"/>
                    <w:rPr>
                      <w:rFonts w:ascii="Calibri" w:hAnsi="Calibri" w:cs="Calibri"/>
                      <w:color w:val="000000"/>
                      <w:sz w:val="22"/>
                      <w:szCs w:val="22"/>
                      <w:lang w:eastAsia="en-GB"/>
                    </w:rPr>
                  </w:pPr>
                  <w:r>
                    <w:rPr>
                      <w:rFonts w:ascii="Calibri" w:hAnsi="Calibri" w:cs="Calibri"/>
                      <w:color w:val="000000"/>
                      <w:sz w:val="22"/>
                      <w:szCs w:val="22"/>
                      <w:lang w:eastAsia="en-GB"/>
                    </w:rPr>
                    <w:t>-1.2</w:t>
                  </w:r>
                </w:p>
              </w:tc>
              <w:tc>
                <w:tcPr>
                  <w:tcW w:w="1417" w:type="dxa"/>
                  <w:tcBorders>
                    <w:top w:val="nil"/>
                    <w:left w:val="nil"/>
                    <w:bottom w:val="single" w:sz="4" w:space="0" w:color="auto"/>
                    <w:right w:val="single" w:sz="4" w:space="0" w:color="auto"/>
                  </w:tcBorders>
                  <w:shd w:val="clear" w:color="auto" w:fill="auto"/>
                  <w:noWrap/>
                  <w:vAlign w:val="bottom"/>
                  <w:hideMark/>
                </w:tcPr>
                <w:p w14:paraId="0F0BE614" w14:textId="33C461B9"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-17.</w:t>
                  </w:r>
                  <w:r w:rsidR="00D03C2A">
                    <w:rPr>
                      <w:rFonts w:ascii="Calibri" w:hAnsi="Calibri" w:cs="Calibri"/>
                      <w:color w:val="000000"/>
                      <w:sz w:val="22"/>
                      <w:szCs w:val="22"/>
                      <w:lang w:eastAsia="en-GB"/>
                    </w:rPr>
                    <w:t>2</w:t>
                  </w:r>
                </w:p>
              </w:tc>
              <w:tc>
                <w:tcPr>
                  <w:tcW w:w="992" w:type="dxa"/>
                  <w:tcBorders>
                    <w:top w:val="nil"/>
                    <w:left w:val="nil"/>
                    <w:bottom w:val="single" w:sz="4" w:space="0" w:color="auto"/>
                    <w:right w:val="single" w:sz="4" w:space="0" w:color="auto"/>
                  </w:tcBorders>
                  <w:shd w:val="clear" w:color="auto" w:fill="auto"/>
                  <w:noWrap/>
                  <w:vAlign w:val="bottom"/>
                  <w:hideMark/>
                </w:tcPr>
                <w:p w14:paraId="568647B5" w14:textId="3117807B"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-1</w:t>
                  </w:r>
                  <w:r w:rsidR="00D03C2A">
                    <w:rPr>
                      <w:rFonts w:ascii="Calibri" w:hAnsi="Calibri" w:cs="Calibri"/>
                      <w:color w:val="000000"/>
                      <w:sz w:val="22"/>
                      <w:szCs w:val="22"/>
                      <w:lang w:eastAsia="en-GB"/>
                    </w:rPr>
                    <w:t>0.3</w:t>
                  </w:r>
                </w:p>
              </w:tc>
              <w:tc>
                <w:tcPr>
                  <w:tcW w:w="751" w:type="dxa"/>
                  <w:tcBorders>
                    <w:top w:val="nil"/>
                    <w:left w:val="nil"/>
                    <w:bottom w:val="single" w:sz="4" w:space="0" w:color="auto"/>
                    <w:right w:val="single" w:sz="4" w:space="0" w:color="auto"/>
                  </w:tcBorders>
                  <w:shd w:val="clear" w:color="auto" w:fill="auto"/>
                  <w:noWrap/>
                  <w:vAlign w:val="bottom"/>
                  <w:hideMark/>
                </w:tcPr>
                <w:p w14:paraId="7879DEAA" w14:textId="067A6B5D" w:rsidR="00F12744" w:rsidRPr="00F12744" w:rsidRDefault="00F12744" w:rsidP="00F12744">
                  <w:pPr>
                    <w:jc w:val="right"/>
                    <w:rPr>
                      <w:rFonts w:ascii="Calibri" w:hAnsi="Calibri" w:cs="Calibri"/>
                      <w:color w:val="000000"/>
                      <w:sz w:val="22"/>
                      <w:szCs w:val="22"/>
                      <w:lang w:eastAsia="en-GB"/>
                    </w:rPr>
                  </w:pPr>
                  <w:r w:rsidRPr="00F12744">
                    <w:rPr>
                      <w:rFonts w:ascii="Calibri" w:hAnsi="Calibri" w:cs="Calibri"/>
                      <w:color w:val="000000"/>
                      <w:sz w:val="22"/>
                      <w:szCs w:val="22"/>
                      <w:lang w:eastAsia="en-GB"/>
                    </w:rPr>
                    <w:t>-</w:t>
                  </w:r>
                  <w:r w:rsidR="00D03C2A">
                    <w:rPr>
                      <w:rFonts w:ascii="Calibri" w:hAnsi="Calibri" w:cs="Calibri"/>
                      <w:color w:val="000000"/>
                      <w:sz w:val="22"/>
                      <w:szCs w:val="22"/>
                      <w:lang w:eastAsia="en-GB"/>
                    </w:rPr>
                    <w:t>9.3</w:t>
                  </w:r>
                </w:p>
              </w:tc>
            </w:tr>
          </w:tbl>
          <w:p w14:paraId="3D5A3599" w14:textId="77777777" w:rsidR="00F12744" w:rsidRDefault="00F12744" w:rsidP="00AD0BF6"/>
          <w:p w14:paraId="274450F8" w14:textId="48C7081F" w:rsidR="00F12744" w:rsidRPr="000471F1" w:rsidRDefault="00F12744" w:rsidP="00AD0BF6"/>
        </w:tc>
      </w:tr>
      <w:tr w:rsidR="006B348A" w:rsidRPr="003E202F" w14:paraId="26DD5395" w14:textId="77777777" w:rsidTr="000D2423">
        <w:tc>
          <w:tcPr>
            <w:tcW w:w="626" w:type="pct"/>
            <w:vMerge w:val="restart"/>
            <w:vAlign w:val="center"/>
          </w:tcPr>
          <w:p w14:paraId="708A6F28" w14:textId="01E39A2E" w:rsidR="006B348A" w:rsidRPr="003E202F" w:rsidRDefault="006B348A" w:rsidP="006B348A">
            <w:r>
              <w:t>1c</w:t>
            </w:r>
          </w:p>
        </w:tc>
        <w:tc>
          <w:tcPr>
            <w:tcW w:w="2516" w:type="pct"/>
          </w:tcPr>
          <w:p w14:paraId="361BEA78" w14:textId="77777777" w:rsidR="006B348A" w:rsidRPr="004C361A" w:rsidRDefault="006B348A" w:rsidP="006B348A">
            <w:pPr>
              <w:rPr>
                <w:b/>
                <w:bCs/>
              </w:rPr>
            </w:pPr>
            <w:r w:rsidRPr="004C361A">
              <w:rPr>
                <w:b/>
                <w:bCs/>
              </w:rPr>
              <w:t>Disability employment gap:</w:t>
            </w:r>
          </w:p>
          <w:p w14:paraId="09D74201" w14:textId="7C9EBA79" w:rsidR="006B348A" w:rsidRPr="000471F1" w:rsidRDefault="006B348A" w:rsidP="006B348A">
            <w:r w:rsidRPr="004C361A">
              <w:t>Employment rate of Disabled and Not Disabled people in London</w:t>
            </w:r>
            <w:r w:rsidR="00D03C2A">
              <w:t xml:space="preserve"> (age 16-64)</w:t>
            </w:r>
          </w:p>
        </w:tc>
        <w:tc>
          <w:tcPr>
            <w:tcW w:w="1858" w:type="pct"/>
          </w:tcPr>
          <w:p w14:paraId="38BF8851" w14:textId="7BB9EA37" w:rsidR="006B348A" w:rsidRPr="000471F1" w:rsidRDefault="00F77F5C" w:rsidP="006B348A">
            <w:hyperlink r:id="rId14" w:history="1">
              <w:r w:rsidR="006B348A" w:rsidRPr="006B348A">
                <w:rPr>
                  <w:rStyle w:val="Hyperlink"/>
                </w:rPr>
                <w:t>Annual Population Survey (APS)</w:t>
              </w:r>
            </w:hyperlink>
          </w:p>
        </w:tc>
      </w:tr>
      <w:tr w:rsidR="00F12744" w:rsidRPr="003E202F" w14:paraId="040E9D43" w14:textId="77777777" w:rsidTr="00F12744">
        <w:tc>
          <w:tcPr>
            <w:tcW w:w="626" w:type="pct"/>
            <w:vMerge/>
          </w:tcPr>
          <w:p w14:paraId="2C671BCD" w14:textId="77777777" w:rsidR="00F12744" w:rsidRPr="003E202F" w:rsidRDefault="00F12744" w:rsidP="00AD0BF6"/>
        </w:tc>
        <w:tc>
          <w:tcPr>
            <w:tcW w:w="4374" w:type="pct"/>
            <w:gridSpan w:val="2"/>
          </w:tcPr>
          <w:p w14:paraId="77D1FA50" w14:textId="77777777" w:rsidR="00F12744" w:rsidRDefault="00F12744" w:rsidP="00AD0BF6"/>
          <w:tbl>
            <w:tblPr>
              <w:tblW w:w="6972" w:type="dxa"/>
              <w:tblLayout w:type="fixed"/>
              <w:tblLook w:val="04A0" w:firstRow="1" w:lastRow="0" w:firstColumn="1" w:lastColumn="0" w:noHBand="0" w:noVBand="1"/>
            </w:tblPr>
            <w:tblGrid>
              <w:gridCol w:w="1180"/>
              <w:gridCol w:w="1823"/>
              <w:gridCol w:w="1843"/>
              <w:gridCol w:w="2126"/>
            </w:tblGrid>
            <w:tr w:rsidR="00F12744" w:rsidRPr="008B21FC" w14:paraId="14E25076" w14:textId="77777777" w:rsidTr="00124483">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A0446" w14:textId="77777777" w:rsidR="00F12744" w:rsidRPr="008B21FC" w:rsidRDefault="00F12744" w:rsidP="008B21FC">
                  <w:pPr>
                    <w:rPr>
                      <w:rFonts w:ascii="Calibri" w:hAnsi="Calibri" w:cs="Calibri"/>
                      <w:color w:val="000000"/>
                      <w:sz w:val="22"/>
                      <w:szCs w:val="22"/>
                      <w:lang w:eastAsia="en-GB"/>
                    </w:rPr>
                  </w:pPr>
                  <w:r w:rsidRPr="008B21FC">
                    <w:rPr>
                      <w:rFonts w:ascii="Calibri" w:hAnsi="Calibri" w:cs="Calibri"/>
                      <w:color w:val="000000"/>
                      <w:sz w:val="22"/>
                      <w:szCs w:val="22"/>
                      <w:lang w:eastAsia="en-GB"/>
                    </w:rPr>
                    <w:t> </w:t>
                  </w:r>
                </w:p>
              </w:tc>
              <w:tc>
                <w:tcPr>
                  <w:tcW w:w="57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22D8C2" w14:textId="77777777" w:rsidR="00F12744" w:rsidRPr="008B21FC" w:rsidRDefault="00F12744" w:rsidP="008B21FC">
                  <w:pPr>
                    <w:jc w:val="center"/>
                    <w:rPr>
                      <w:rFonts w:ascii="Calibri" w:hAnsi="Calibri" w:cs="Calibri"/>
                      <w:b/>
                      <w:bCs/>
                      <w:color w:val="000000"/>
                      <w:sz w:val="22"/>
                      <w:szCs w:val="22"/>
                      <w:lang w:eastAsia="en-GB"/>
                    </w:rPr>
                  </w:pPr>
                  <w:r w:rsidRPr="008B21FC">
                    <w:rPr>
                      <w:rFonts w:ascii="Calibri" w:hAnsi="Calibri" w:cs="Calibri"/>
                      <w:b/>
                      <w:bCs/>
                      <w:color w:val="000000"/>
                      <w:sz w:val="22"/>
                      <w:szCs w:val="22"/>
                      <w:lang w:eastAsia="en-GB"/>
                    </w:rPr>
                    <w:t>London</w:t>
                  </w:r>
                </w:p>
              </w:tc>
            </w:tr>
            <w:tr w:rsidR="00F12744" w:rsidRPr="008B21FC" w14:paraId="42D10DC9" w14:textId="77777777" w:rsidTr="00176CB9">
              <w:trPr>
                <w:trHeight w:val="7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9358B5E" w14:textId="77777777" w:rsidR="00F12744" w:rsidRPr="008B21FC" w:rsidRDefault="00F12744" w:rsidP="008B21FC">
                  <w:pPr>
                    <w:rPr>
                      <w:rFonts w:ascii="Arial" w:hAnsi="Arial" w:cs="Arial"/>
                      <w:b/>
                      <w:bCs/>
                      <w:sz w:val="20"/>
                      <w:szCs w:val="20"/>
                      <w:lang w:eastAsia="en-GB"/>
                    </w:rPr>
                  </w:pPr>
                  <w:r w:rsidRPr="008B21FC">
                    <w:rPr>
                      <w:rFonts w:ascii="Arial" w:hAnsi="Arial" w:cs="Arial"/>
                      <w:b/>
                      <w:bCs/>
                      <w:sz w:val="20"/>
                      <w:szCs w:val="20"/>
                      <w:lang w:eastAsia="en-GB"/>
                    </w:rPr>
                    <w:t>Year</w:t>
                  </w:r>
                </w:p>
              </w:tc>
              <w:tc>
                <w:tcPr>
                  <w:tcW w:w="1823" w:type="dxa"/>
                  <w:tcBorders>
                    <w:top w:val="nil"/>
                    <w:left w:val="nil"/>
                    <w:bottom w:val="single" w:sz="4" w:space="0" w:color="auto"/>
                    <w:right w:val="single" w:sz="4" w:space="0" w:color="auto"/>
                  </w:tcBorders>
                  <w:shd w:val="clear" w:color="auto" w:fill="auto"/>
                  <w:vAlign w:val="center"/>
                  <w:hideMark/>
                </w:tcPr>
                <w:p w14:paraId="26308073" w14:textId="0B8AB41D" w:rsidR="00F12744" w:rsidRPr="008B21FC" w:rsidRDefault="00F12744" w:rsidP="008B21FC">
                  <w:pPr>
                    <w:rPr>
                      <w:rFonts w:ascii="Arial" w:hAnsi="Arial" w:cs="Arial"/>
                      <w:b/>
                      <w:bCs/>
                      <w:sz w:val="20"/>
                      <w:szCs w:val="20"/>
                      <w:lang w:eastAsia="en-GB"/>
                    </w:rPr>
                  </w:pPr>
                  <w:r w:rsidRPr="008B21FC">
                    <w:rPr>
                      <w:rFonts w:ascii="Arial" w:hAnsi="Arial" w:cs="Arial"/>
                      <w:b/>
                      <w:bCs/>
                      <w:sz w:val="20"/>
                      <w:szCs w:val="20"/>
                      <w:lang w:eastAsia="en-GB"/>
                    </w:rPr>
                    <w:t>Employment rate disabled</w:t>
                  </w:r>
                  <w:r w:rsidR="00124483">
                    <w:rPr>
                      <w:rFonts w:ascii="Arial" w:hAnsi="Arial" w:cs="Arial"/>
                      <w:b/>
                      <w:bCs/>
                      <w:sz w:val="20"/>
                      <w:szCs w:val="20"/>
                      <w:lang w:eastAsia="en-GB"/>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BC7373" w14:textId="3BCA378D" w:rsidR="00F12744" w:rsidRPr="008B21FC" w:rsidRDefault="00F12744" w:rsidP="008B21FC">
                  <w:pPr>
                    <w:rPr>
                      <w:rFonts w:ascii="Arial" w:hAnsi="Arial" w:cs="Arial"/>
                      <w:b/>
                      <w:bCs/>
                      <w:sz w:val="20"/>
                      <w:szCs w:val="20"/>
                      <w:lang w:eastAsia="en-GB"/>
                    </w:rPr>
                  </w:pPr>
                  <w:r w:rsidRPr="008B21FC">
                    <w:rPr>
                      <w:rFonts w:ascii="Arial" w:hAnsi="Arial" w:cs="Arial"/>
                      <w:b/>
                      <w:bCs/>
                      <w:sz w:val="20"/>
                      <w:szCs w:val="20"/>
                      <w:lang w:eastAsia="en-GB"/>
                    </w:rPr>
                    <w:t>Employment rate not disabled</w:t>
                  </w:r>
                  <w:r w:rsidR="00124483">
                    <w:rPr>
                      <w:rFonts w:ascii="Arial" w:hAnsi="Arial" w:cs="Arial"/>
                      <w:b/>
                      <w:bCs/>
                      <w:sz w:val="20"/>
                      <w:szCs w:val="20"/>
                      <w:lang w:eastAsia="en-GB"/>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31A5DB0B" w14:textId="77777777" w:rsidR="00F12744" w:rsidRPr="008B21FC" w:rsidRDefault="00F12744" w:rsidP="008B21FC">
                  <w:pPr>
                    <w:rPr>
                      <w:rFonts w:ascii="Arial" w:hAnsi="Arial" w:cs="Arial"/>
                      <w:b/>
                      <w:bCs/>
                      <w:sz w:val="20"/>
                      <w:szCs w:val="20"/>
                      <w:lang w:eastAsia="en-GB"/>
                    </w:rPr>
                  </w:pPr>
                  <w:r w:rsidRPr="008B21FC">
                    <w:rPr>
                      <w:rFonts w:ascii="Arial" w:hAnsi="Arial" w:cs="Arial"/>
                      <w:b/>
                      <w:bCs/>
                      <w:sz w:val="20"/>
                      <w:szCs w:val="20"/>
                      <w:lang w:eastAsia="en-GB"/>
                    </w:rPr>
                    <w:t>All people disabled employment gap</w:t>
                  </w:r>
                </w:p>
              </w:tc>
            </w:tr>
            <w:tr w:rsidR="00F12744" w:rsidRPr="008B21FC" w14:paraId="35A8306F" w14:textId="77777777" w:rsidTr="00124483">
              <w:trPr>
                <w:trHeight w:val="300"/>
              </w:trPr>
              <w:tc>
                <w:tcPr>
                  <w:tcW w:w="1180" w:type="dxa"/>
                  <w:tcBorders>
                    <w:top w:val="nil"/>
                    <w:left w:val="single" w:sz="4" w:space="0" w:color="auto"/>
                    <w:bottom w:val="single" w:sz="4" w:space="0" w:color="auto"/>
                    <w:right w:val="single" w:sz="4" w:space="0" w:color="auto"/>
                  </w:tcBorders>
                  <w:shd w:val="clear" w:color="auto" w:fill="auto"/>
                  <w:noWrap/>
                  <w:hideMark/>
                </w:tcPr>
                <w:p w14:paraId="690ABB39" w14:textId="77777777" w:rsidR="00F12744" w:rsidRPr="008B21FC" w:rsidRDefault="00F12744" w:rsidP="008B21FC">
                  <w:pPr>
                    <w:rPr>
                      <w:rFonts w:ascii="Arial" w:hAnsi="Arial" w:cs="Arial"/>
                      <w:sz w:val="20"/>
                      <w:szCs w:val="20"/>
                      <w:lang w:eastAsia="en-GB"/>
                    </w:rPr>
                  </w:pPr>
                  <w:r w:rsidRPr="008B21FC">
                    <w:rPr>
                      <w:rFonts w:ascii="Arial" w:hAnsi="Arial" w:cs="Arial"/>
                      <w:sz w:val="20"/>
                      <w:szCs w:val="20"/>
                      <w:lang w:eastAsia="en-GB"/>
                    </w:rPr>
                    <w:t>2020</w:t>
                  </w:r>
                </w:p>
              </w:tc>
              <w:tc>
                <w:tcPr>
                  <w:tcW w:w="1823" w:type="dxa"/>
                  <w:tcBorders>
                    <w:top w:val="nil"/>
                    <w:left w:val="nil"/>
                    <w:bottom w:val="single" w:sz="4" w:space="0" w:color="auto"/>
                    <w:right w:val="single" w:sz="4" w:space="0" w:color="auto"/>
                  </w:tcBorders>
                  <w:shd w:val="clear" w:color="auto" w:fill="auto"/>
                  <w:noWrap/>
                  <w:hideMark/>
                </w:tcPr>
                <w:p w14:paraId="5BBD666D" w14:textId="21A6D80B" w:rsidR="00F12744" w:rsidRPr="008B21FC" w:rsidRDefault="00F12744" w:rsidP="008B21FC">
                  <w:pPr>
                    <w:jc w:val="right"/>
                    <w:rPr>
                      <w:rFonts w:ascii="Arial" w:hAnsi="Arial" w:cs="Arial"/>
                      <w:sz w:val="20"/>
                      <w:szCs w:val="20"/>
                      <w:lang w:eastAsia="en-GB"/>
                    </w:rPr>
                  </w:pPr>
                  <w:r w:rsidRPr="008B21FC">
                    <w:rPr>
                      <w:rFonts w:ascii="Arial" w:hAnsi="Arial" w:cs="Arial"/>
                      <w:sz w:val="20"/>
                      <w:szCs w:val="20"/>
                      <w:lang w:eastAsia="en-GB"/>
                    </w:rPr>
                    <w:t>54.</w:t>
                  </w:r>
                  <w:r w:rsidR="00D03C2A">
                    <w:rPr>
                      <w:rFonts w:ascii="Arial" w:hAnsi="Arial" w:cs="Arial"/>
                      <w:sz w:val="20"/>
                      <w:szCs w:val="20"/>
                      <w:lang w:eastAsia="en-GB"/>
                    </w:rPr>
                    <w:t>6</w:t>
                  </w:r>
                </w:p>
              </w:tc>
              <w:tc>
                <w:tcPr>
                  <w:tcW w:w="1843" w:type="dxa"/>
                  <w:tcBorders>
                    <w:top w:val="nil"/>
                    <w:left w:val="nil"/>
                    <w:bottom w:val="single" w:sz="4" w:space="0" w:color="auto"/>
                    <w:right w:val="single" w:sz="4" w:space="0" w:color="auto"/>
                  </w:tcBorders>
                  <w:shd w:val="clear" w:color="auto" w:fill="auto"/>
                  <w:noWrap/>
                  <w:hideMark/>
                </w:tcPr>
                <w:p w14:paraId="0C0F52F2" w14:textId="60B40DFC" w:rsidR="00F12744" w:rsidRPr="008B21FC" w:rsidRDefault="00F12744" w:rsidP="008B21FC">
                  <w:pPr>
                    <w:jc w:val="right"/>
                    <w:rPr>
                      <w:rFonts w:ascii="Arial" w:hAnsi="Arial" w:cs="Arial"/>
                      <w:sz w:val="20"/>
                      <w:szCs w:val="20"/>
                      <w:lang w:eastAsia="en-GB"/>
                    </w:rPr>
                  </w:pPr>
                  <w:r w:rsidRPr="008B21FC">
                    <w:rPr>
                      <w:rFonts w:ascii="Arial" w:hAnsi="Arial" w:cs="Arial"/>
                      <w:sz w:val="20"/>
                      <w:szCs w:val="20"/>
                      <w:lang w:eastAsia="en-GB"/>
                    </w:rPr>
                    <w:t>79.</w:t>
                  </w:r>
                  <w:r w:rsidR="00D03C2A">
                    <w:rPr>
                      <w:rFonts w:ascii="Arial" w:hAnsi="Arial" w:cs="Arial"/>
                      <w:sz w:val="20"/>
                      <w:szCs w:val="20"/>
                      <w:lang w:eastAsia="en-GB"/>
                    </w:rPr>
                    <w:t>6</w:t>
                  </w:r>
                </w:p>
              </w:tc>
              <w:tc>
                <w:tcPr>
                  <w:tcW w:w="2126" w:type="dxa"/>
                  <w:tcBorders>
                    <w:top w:val="nil"/>
                    <w:left w:val="nil"/>
                    <w:bottom w:val="single" w:sz="4" w:space="0" w:color="auto"/>
                    <w:right w:val="single" w:sz="4" w:space="0" w:color="auto"/>
                  </w:tcBorders>
                  <w:shd w:val="clear" w:color="auto" w:fill="auto"/>
                  <w:noWrap/>
                  <w:hideMark/>
                </w:tcPr>
                <w:p w14:paraId="42EDBE3E" w14:textId="77777777" w:rsidR="00F12744" w:rsidRPr="008B21FC" w:rsidRDefault="00F12744" w:rsidP="008B21FC">
                  <w:pPr>
                    <w:jc w:val="right"/>
                    <w:rPr>
                      <w:rFonts w:ascii="Arial" w:hAnsi="Arial" w:cs="Arial"/>
                      <w:sz w:val="20"/>
                      <w:szCs w:val="20"/>
                      <w:lang w:eastAsia="en-GB"/>
                    </w:rPr>
                  </w:pPr>
                  <w:r w:rsidRPr="008B21FC">
                    <w:rPr>
                      <w:rFonts w:ascii="Arial" w:hAnsi="Arial" w:cs="Arial"/>
                      <w:sz w:val="20"/>
                      <w:szCs w:val="20"/>
                      <w:lang w:eastAsia="en-GB"/>
                    </w:rPr>
                    <w:t>-25.0</w:t>
                  </w:r>
                </w:p>
              </w:tc>
            </w:tr>
            <w:tr w:rsidR="00D03C2A" w:rsidRPr="008B21FC" w14:paraId="60654F7D" w14:textId="77777777" w:rsidTr="00124483">
              <w:trPr>
                <w:trHeight w:val="300"/>
              </w:trPr>
              <w:tc>
                <w:tcPr>
                  <w:tcW w:w="1180" w:type="dxa"/>
                  <w:tcBorders>
                    <w:top w:val="nil"/>
                    <w:left w:val="single" w:sz="4" w:space="0" w:color="auto"/>
                    <w:bottom w:val="single" w:sz="4" w:space="0" w:color="auto"/>
                    <w:right w:val="single" w:sz="4" w:space="0" w:color="auto"/>
                  </w:tcBorders>
                  <w:shd w:val="clear" w:color="auto" w:fill="auto"/>
                  <w:noWrap/>
                </w:tcPr>
                <w:p w14:paraId="12DBED4B" w14:textId="14BFC5C1" w:rsidR="00D03C2A" w:rsidRPr="008B21FC" w:rsidRDefault="00D03C2A" w:rsidP="008B21FC">
                  <w:pPr>
                    <w:rPr>
                      <w:rFonts w:ascii="Arial" w:hAnsi="Arial" w:cs="Arial"/>
                      <w:sz w:val="20"/>
                      <w:szCs w:val="20"/>
                      <w:lang w:eastAsia="en-GB"/>
                    </w:rPr>
                  </w:pPr>
                  <w:r>
                    <w:rPr>
                      <w:rFonts w:ascii="Arial" w:hAnsi="Arial" w:cs="Arial"/>
                      <w:sz w:val="20"/>
                      <w:szCs w:val="20"/>
                      <w:lang w:eastAsia="en-GB"/>
                    </w:rPr>
                    <w:t>2021</w:t>
                  </w:r>
                </w:p>
              </w:tc>
              <w:tc>
                <w:tcPr>
                  <w:tcW w:w="1823" w:type="dxa"/>
                  <w:tcBorders>
                    <w:top w:val="nil"/>
                    <w:left w:val="nil"/>
                    <w:bottom w:val="single" w:sz="4" w:space="0" w:color="auto"/>
                    <w:right w:val="single" w:sz="4" w:space="0" w:color="auto"/>
                  </w:tcBorders>
                  <w:shd w:val="clear" w:color="auto" w:fill="auto"/>
                  <w:noWrap/>
                </w:tcPr>
                <w:p w14:paraId="1A2B1B09" w14:textId="56FDAE5F" w:rsidR="00D03C2A" w:rsidRPr="008B21FC" w:rsidRDefault="00D03C2A" w:rsidP="008B21FC">
                  <w:pPr>
                    <w:jc w:val="right"/>
                    <w:rPr>
                      <w:rFonts w:ascii="Arial" w:hAnsi="Arial" w:cs="Arial"/>
                      <w:sz w:val="20"/>
                      <w:szCs w:val="20"/>
                      <w:lang w:eastAsia="en-GB"/>
                    </w:rPr>
                  </w:pPr>
                  <w:r>
                    <w:rPr>
                      <w:rFonts w:ascii="Arial" w:hAnsi="Arial" w:cs="Arial"/>
                      <w:sz w:val="20"/>
                      <w:szCs w:val="20"/>
                      <w:lang w:eastAsia="en-GB"/>
                    </w:rPr>
                    <w:t>56.3</w:t>
                  </w:r>
                </w:p>
              </w:tc>
              <w:tc>
                <w:tcPr>
                  <w:tcW w:w="1843" w:type="dxa"/>
                  <w:tcBorders>
                    <w:top w:val="nil"/>
                    <w:left w:val="nil"/>
                    <w:bottom w:val="single" w:sz="4" w:space="0" w:color="auto"/>
                    <w:right w:val="single" w:sz="4" w:space="0" w:color="auto"/>
                  </w:tcBorders>
                  <w:shd w:val="clear" w:color="auto" w:fill="auto"/>
                  <w:noWrap/>
                </w:tcPr>
                <w:p w14:paraId="02B8E903" w14:textId="28D1A896" w:rsidR="00D03C2A" w:rsidRPr="008B21FC" w:rsidRDefault="00D03C2A" w:rsidP="008B21FC">
                  <w:pPr>
                    <w:jc w:val="right"/>
                    <w:rPr>
                      <w:rFonts w:ascii="Arial" w:hAnsi="Arial" w:cs="Arial"/>
                      <w:sz w:val="20"/>
                      <w:szCs w:val="20"/>
                      <w:lang w:eastAsia="en-GB"/>
                    </w:rPr>
                  </w:pPr>
                  <w:r>
                    <w:rPr>
                      <w:rFonts w:ascii="Arial" w:hAnsi="Arial" w:cs="Arial"/>
                      <w:sz w:val="20"/>
                      <w:szCs w:val="20"/>
                      <w:lang w:eastAsia="en-GB"/>
                    </w:rPr>
                    <w:t>79.3</w:t>
                  </w:r>
                </w:p>
              </w:tc>
              <w:tc>
                <w:tcPr>
                  <w:tcW w:w="2126" w:type="dxa"/>
                  <w:tcBorders>
                    <w:top w:val="nil"/>
                    <w:left w:val="nil"/>
                    <w:bottom w:val="single" w:sz="4" w:space="0" w:color="auto"/>
                    <w:right w:val="single" w:sz="4" w:space="0" w:color="auto"/>
                  </w:tcBorders>
                  <w:shd w:val="clear" w:color="auto" w:fill="auto"/>
                  <w:noWrap/>
                </w:tcPr>
                <w:p w14:paraId="0ACFC92C" w14:textId="5F4BD9F9" w:rsidR="00D03C2A" w:rsidRPr="008B21FC" w:rsidRDefault="00D03C2A" w:rsidP="008B21FC">
                  <w:pPr>
                    <w:jc w:val="right"/>
                    <w:rPr>
                      <w:rFonts w:ascii="Arial" w:hAnsi="Arial" w:cs="Arial"/>
                      <w:sz w:val="20"/>
                      <w:szCs w:val="20"/>
                      <w:lang w:eastAsia="en-GB"/>
                    </w:rPr>
                  </w:pPr>
                  <w:r>
                    <w:rPr>
                      <w:rFonts w:ascii="Arial" w:hAnsi="Arial" w:cs="Arial"/>
                      <w:sz w:val="20"/>
                      <w:szCs w:val="20"/>
                      <w:lang w:eastAsia="en-GB"/>
                    </w:rPr>
                    <w:t>-23.0</w:t>
                  </w:r>
                </w:p>
              </w:tc>
            </w:tr>
            <w:tr w:rsidR="00F12744" w:rsidRPr="008B21FC" w14:paraId="59BB8465" w14:textId="77777777" w:rsidTr="00124483">
              <w:trPr>
                <w:trHeight w:val="300"/>
              </w:trPr>
              <w:tc>
                <w:tcPr>
                  <w:tcW w:w="1180" w:type="dxa"/>
                  <w:tcBorders>
                    <w:top w:val="nil"/>
                    <w:left w:val="single" w:sz="4" w:space="0" w:color="auto"/>
                    <w:bottom w:val="single" w:sz="4" w:space="0" w:color="auto"/>
                    <w:right w:val="single" w:sz="4" w:space="0" w:color="auto"/>
                  </w:tcBorders>
                  <w:shd w:val="clear" w:color="auto" w:fill="auto"/>
                  <w:noWrap/>
                  <w:hideMark/>
                </w:tcPr>
                <w:p w14:paraId="1056D8FC" w14:textId="037124EA" w:rsidR="00F12744" w:rsidRPr="008B21FC" w:rsidRDefault="00F12744" w:rsidP="008B21FC">
                  <w:pPr>
                    <w:rPr>
                      <w:rFonts w:ascii="Arial" w:hAnsi="Arial" w:cs="Arial"/>
                      <w:sz w:val="20"/>
                      <w:szCs w:val="20"/>
                      <w:lang w:eastAsia="en-GB"/>
                    </w:rPr>
                  </w:pPr>
                  <w:r w:rsidRPr="008B21FC">
                    <w:rPr>
                      <w:rFonts w:ascii="Arial" w:hAnsi="Arial" w:cs="Arial"/>
                      <w:sz w:val="20"/>
                      <w:szCs w:val="20"/>
                      <w:lang w:eastAsia="en-GB"/>
                    </w:rPr>
                    <w:lastRenderedPageBreak/>
                    <w:t>202</w:t>
                  </w:r>
                  <w:r w:rsidR="00D03C2A">
                    <w:rPr>
                      <w:rFonts w:ascii="Arial" w:hAnsi="Arial" w:cs="Arial"/>
                      <w:sz w:val="20"/>
                      <w:szCs w:val="20"/>
                      <w:lang w:eastAsia="en-GB"/>
                    </w:rPr>
                    <w:t>2</w:t>
                  </w:r>
                </w:p>
              </w:tc>
              <w:tc>
                <w:tcPr>
                  <w:tcW w:w="1823" w:type="dxa"/>
                  <w:tcBorders>
                    <w:top w:val="nil"/>
                    <w:left w:val="nil"/>
                    <w:bottom w:val="single" w:sz="4" w:space="0" w:color="auto"/>
                    <w:right w:val="single" w:sz="4" w:space="0" w:color="auto"/>
                  </w:tcBorders>
                  <w:shd w:val="clear" w:color="auto" w:fill="auto"/>
                  <w:noWrap/>
                  <w:hideMark/>
                </w:tcPr>
                <w:p w14:paraId="6ECEFA09" w14:textId="49DE9BD4" w:rsidR="00F12744" w:rsidRPr="008B21FC" w:rsidRDefault="00F12744" w:rsidP="008B21FC">
                  <w:pPr>
                    <w:jc w:val="right"/>
                    <w:rPr>
                      <w:rFonts w:ascii="Arial" w:hAnsi="Arial" w:cs="Arial"/>
                      <w:sz w:val="20"/>
                      <w:szCs w:val="20"/>
                      <w:lang w:eastAsia="en-GB"/>
                    </w:rPr>
                  </w:pPr>
                  <w:r w:rsidRPr="008B21FC">
                    <w:rPr>
                      <w:rFonts w:ascii="Arial" w:hAnsi="Arial" w:cs="Arial"/>
                      <w:sz w:val="20"/>
                      <w:szCs w:val="20"/>
                      <w:lang w:eastAsia="en-GB"/>
                    </w:rPr>
                    <w:t>5</w:t>
                  </w:r>
                  <w:r w:rsidR="00D03C2A">
                    <w:rPr>
                      <w:rFonts w:ascii="Arial" w:hAnsi="Arial" w:cs="Arial"/>
                      <w:sz w:val="20"/>
                      <w:szCs w:val="20"/>
                      <w:lang w:eastAsia="en-GB"/>
                    </w:rPr>
                    <w:t>7.8</w:t>
                  </w:r>
                </w:p>
              </w:tc>
              <w:tc>
                <w:tcPr>
                  <w:tcW w:w="1843" w:type="dxa"/>
                  <w:tcBorders>
                    <w:top w:val="nil"/>
                    <w:left w:val="nil"/>
                    <w:bottom w:val="single" w:sz="4" w:space="0" w:color="auto"/>
                    <w:right w:val="single" w:sz="4" w:space="0" w:color="auto"/>
                  </w:tcBorders>
                  <w:shd w:val="clear" w:color="auto" w:fill="auto"/>
                  <w:noWrap/>
                  <w:hideMark/>
                </w:tcPr>
                <w:p w14:paraId="155B17D8" w14:textId="5D44DDD5" w:rsidR="00F12744" w:rsidRPr="008B21FC" w:rsidRDefault="00D03C2A" w:rsidP="008B21FC">
                  <w:pPr>
                    <w:jc w:val="right"/>
                    <w:rPr>
                      <w:rFonts w:ascii="Arial" w:hAnsi="Arial" w:cs="Arial"/>
                      <w:sz w:val="20"/>
                      <w:szCs w:val="20"/>
                      <w:lang w:eastAsia="en-GB"/>
                    </w:rPr>
                  </w:pPr>
                  <w:r>
                    <w:rPr>
                      <w:rFonts w:ascii="Arial" w:hAnsi="Arial" w:cs="Arial"/>
                      <w:sz w:val="20"/>
                      <w:szCs w:val="20"/>
                      <w:lang w:eastAsia="en-GB"/>
                    </w:rPr>
                    <w:t>80.7</w:t>
                  </w:r>
                </w:p>
              </w:tc>
              <w:tc>
                <w:tcPr>
                  <w:tcW w:w="2126" w:type="dxa"/>
                  <w:tcBorders>
                    <w:top w:val="nil"/>
                    <w:left w:val="nil"/>
                    <w:bottom w:val="single" w:sz="4" w:space="0" w:color="auto"/>
                    <w:right w:val="single" w:sz="4" w:space="0" w:color="auto"/>
                  </w:tcBorders>
                  <w:shd w:val="clear" w:color="auto" w:fill="auto"/>
                  <w:noWrap/>
                  <w:hideMark/>
                </w:tcPr>
                <w:p w14:paraId="62AE7496" w14:textId="3C0A36D2" w:rsidR="00F12744" w:rsidRPr="008B21FC" w:rsidRDefault="00F12744" w:rsidP="008B21FC">
                  <w:pPr>
                    <w:jc w:val="right"/>
                    <w:rPr>
                      <w:rFonts w:ascii="Arial" w:hAnsi="Arial" w:cs="Arial"/>
                      <w:sz w:val="20"/>
                      <w:szCs w:val="20"/>
                      <w:lang w:eastAsia="en-GB"/>
                    </w:rPr>
                  </w:pPr>
                  <w:r w:rsidRPr="008B21FC">
                    <w:rPr>
                      <w:rFonts w:ascii="Arial" w:hAnsi="Arial" w:cs="Arial"/>
                      <w:sz w:val="20"/>
                      <w:szCs w:val="20"/>
                      <w:lang w:eastAsia="en-GB"/>
                    </w:rPr>
                    <w:t>-2</w:t>
                  </w:r>
                  <w:r w:rsidR="00D03C2A">
                    <w:rPr>
                      <w:rFonts w:ascii="Arial" w:hAnsi="Arial" w:cs="Arial"/>
                      <w:sz w:val="20"/>
                      <w:szCs w:val="20"/>
                      <w:lang w:eastAsia="en-GB"/>
                    </w:rPr>
                    <w:t>2.9</w:t>
                  </w:r>
                </w:p>
              </w:tc>
            </w:tr>
          </w:tbl>
          <w:p w14:paraId="55CBBC96" w14:textId="511D7084" w:rsidR="00176CB9" w:rsidRPr="000471F1" w:rsidRDefault="00176CB9" w:rsidP="00AD0BF6"/>
        </w:tc>
      </w:tr>
    </w:tbl>
    <w:p w14:paraId="732444FC" w14:textId="517764B7" w:rsidR="00906147" w:rsidRDefault="00906147"/>
    <w:p w14:paraId="6C5FB358" w14:textId="060F55A2" w:rsidR="00906147" w:rsidRPr="00906147" w:rsidRDefault="00906147">
      <w:pPr>
        <w:rPr>
          <w:b/>
          <w:bCs/>
        </w:rPr>
      </w:pPr>
      <w:r w:rsidRPr="00906147">
        <w:rPr>
          <w:b/>
          <w:bCs/>
        </w:rPr>
        <w:t xml:space="preserve">Commentary – </w:t>
      </w:r>
      <w:r>
        <w:rPr>
          <w:b/>
          <w:bCs/>
        </w:rPr>
        <w:t>employment rate</w:t>
      </w:r>
      <w:r w:rsidRPr="00906147">
        <w:rPr>
          <w:b/>
          <w:bCs/>
        </w:rPr>
        <w:t xml:space="preserve"> gaps</w:t>
      </w:r>
    </w:p>
    <w:p w14:paraId="73AE3457" w14:textId="3B837F05" w:rsidR="00906147" w:rsidRDefault="00906147" w:rsidP="00906147">
      <w:pPr>
        <w:pStyle w:val="ListParagraph"/>
        <w:numPr>
          <w:ilvl w:val="0"/>
          <w:numId w:val="7"/>
        </w:numPr>
      </w:pPr>
      <w:r w:rsidRPr="00906147">
        <w:t xml:space="preserve">The gender </w:t>
      </w:r>
      <w:r>
        <w:t>employment rate</w:t>
      </w:r>
      <w:r w:rsidRPr="00906147">
        <w:t xml:space="preserve"> gap across London has </w:t>
      </w:r>
      <w:r>
        <w:t xml:space="preserve">increased since 2020. This is largely due to </w:t>
      </w:r>
      <w:r w:rsidRPr="00906147">
        <w:t>the male employment rate increas</w:t>
      </w:r>
      <w:r>
        <w:t>ing</w:t>
      </w:r>
      <w:r w:rsidRPr="00906147">
        <w:t xml:space="preserve"> between 2021 and 2022</w:t>
      </w:r>
      <w:r w:rsidR="00B87A10">
        <w:t>.</w:t>
      </w:r>
      <w:r>
        <w:t xml:space="preserve"> </w:t>
      </w:r>
    </w:p>
    <w:p w14:paraId="6577BBDD" w14:textId="66D9492A" w:rsidR="00906147" w:rsidRDefault="00906147" w:rsidP="00906147">
      <w:pPr>
        <w:pStyle w:val="ListParagraph"/>
        <w:numPr>
          <w:ilvl w:val="0"/>
          <w:numId w:val="7"/>
        </w:numPr>
      </w:pPr>
      <w:r w:rsidRPr="00906147">
        <w:t>The employment</w:t>
      </w:r>
      <w:r w:rsidR="0086017E">
        <w:t xml:space="preserve"> rate</w:t>
      </w:r>
      <w:r w:rsidRPr="00906147">
        <w:t xml:space="preserve"> gap between White and </w:t>
      </w:r>
      <w:r>
        <w:t>Other than White</w:t>
      </w:r>
      <w:r w:rsidRPr="00906147">
        <w:t xml:space="preserve"> </w:t>
      </w:r>
      <w:r w:rsidR="00D22437">
        <w:t>has</w:t>
      </w:r>
      <w:r w:rsidRPr="00906147">
        <w:t xml:space="preserve"> fallen below 10 percentage points in London</w:t>
      </w:r>
      <w:r w:rsidR="00D22437">
        <w:t xml:space="preserve"> in 2022, a marked decline since 2020</w:t>
      </w:r>
      <w:r w:rsidRPr="00906147">
        <w:t>.</w:t>
      </w:r>
    </w:p>
    <w:p w14:paraId="38D8C034" w14:textId="1D64A340" w:rsidR="0086017E" w:rsidRDefault="0086017E" w:rsidP="00906147">
      <w:pPr>
        <w:pStyle w:val="ListParagraph"/>
        <w:numPr>
          <w:ilvl w:val="0"/>
          <w:numId w:val="7"/>
        </w:numPr>
      </w:pPr>
      <w:r w:rsidRPr="0086017E">
        <w:t xml:space="preserve">However, there remain some significant gaps between the employment rates </w:t>
      </w:r>
      <w:r>
        <w:t xml:space="preserve">of </w:t>
      </w:r>
      <w:r w:rsidRPr="0086017E">
        <w:t xml:space="preserve">White groups and some specific </w:t>
      </w:r>
      <w:r w:rsidR="006B14C6">
        <w:t xml:space="preserve">ethnic </w:t>
      </w:r>
      <w:r w:rsidRPr="0086017E">
        <w:t>groups, most notably in London between White</w:t>
      </w:r>
      <w:r>
        <w:t xml:space="preserve"> Londoners</w:t>
      </w:r>
      <w:r w:rsidRPr="0086017E">
        <w:t xml:space="preserve"> and</w:t>
      </w:r>
      <w:r w:rsidR="006B14C6">
        <w:t xml:space="preserve"> </w:t>
      </w:r>
      <w:r w:rsidRPr="0086017E">
        <w:t>Pakistani</w:t>
      </w:r>
      <w:r w:rsidR="006B14C6">
        <w:t>/</w:t>
      </w:r>
      <w:r w:rsidR="006B14C6" w:rsidRPr="0086017E">
        <w:t>Bangladeshi</w:t>
      </w:r>
      <w:r w:rsidRPr="0086017E">
        <w:t xml:space="preserve"> </w:t>
      </w:r>
      <w:r>
        <w:t xml:space="preserve">Londoners </w:t>
      </w:r>
      <w:r w:rsidRPr="0086017E">
        <w:t>(</w:t>
      </w:r>
      <w:r>
        <w:t>17.</w:t>
      </w:r>
      <w:r w:rsidR="001F4710">
        <w:t>2%</w:t>
      </w:r>
      <w:r w:rsidRPr="0086017E">
        <w:t>).</w:t>
      </w:r>
    </w:p>
    <w:p w14:paraId="5A9146E3" w14:textId="32668930" w:rsidR="00906147" w:rsidRDefault="0086017E" w:rsidP="00A479C2">
      <w:pPr>
        <w:pStyle w:val="ListParagraph"/>
        <w:numPr>
          <w:ilvl w:val="0"/>
          <w:numId w:val="7"/>
        </w:numPr>
      </w:pPr>
      <w:r w:rsidRPr="0086017E">
        <w:t>The employment</w:t>
      </w:r>
      <w:r>
        <w:t xml:space="preserve"> rate</w:t>
      </w:r>
      <w:r w:rsidRPr="0086017E">
        <w:t xml:space="preserve"> gap between disabled and non-disabled Londoners has decrea</w:t>
      </w:r>
      <w:r>
        <w:t xml:space="preserve">sed since 2020. However, it is still much larger than the </w:t>
      </w:r>
      <w:r w:rsidRPr="00906147">
        <w:t xml:space="preserve">gender </w:t>
      </w:r>
      <w:r>
        <w:t>employment rate</w:t>
      </w:r>
      <w:r w:rsidRPr="00906147">
        <w:t xml:space="preserve"> gap</w:t>
      </w:r>
      <w:r>
        <w:t xml:space="preserve"> and most ethnicity</w:t>
      </w:r>
      <w:r w:rsidRPr="00906147">
        <w:t xml:space="preserve"> </w:t>
      </w:r>
      <w:r>
        <w:t>employment rate</w:t>
      </w:r>
      <w:r w:rsidRPr="00906147">
        <w:t xml:space="preserve"> gap</w:t>
      </w:r>
      <w:r>
        <w:t>s at 22.9% in 2022.</w:t>
      </w:r>
    </w:p>
    <w:p w14:paraId="083B4DB7" w14:textId="66212A56" w:rsidR="00906147" w:rsidRDefault="00906147"/>
    <w:p w14:paraId="216222AD" w14:textId="77777777" w:rsidR="00906147" w:rsidRDefault="00906147"/>
    <w:tbl>
      <w:tblPr>
        <w:tblStyle w:val="TableGrid"/>
        <w:tblW w:w="5000" w:type="pct"/>
        <w:tblLayout w:type="fixed"/>
        <w:tblLook w:val="04A0" w:firstRow="1" w:lastRow="0" w:firstColumn="1" w:lastColumn="0" w:noHBand="0" w:noVBand="1"/>
      </w:tblPr>
      <w:tblGrid>
        <w:gridCol w:w="1129"/>
        <w:gridCol w:w="4537"/>
        <w:gridCol w:w="3350"/>
      </w:tblGrid>
      <w:tr w:rsidR="000D2423" w:rsidRPr="003E202F" w14:paraId="3F771AE8" w14:textId="77777777" w:rsidTr="000D2423">
        <w:tc>
          <w:tcPr>
            <w:tcW w:w="626" w:type="pct"/>
            <w:vMerge w:val="restart"/>
            <w:vAlign w:val="center"/>
          </w:tcPr>
          <w:p w14:paraId="05BB2E62" w14:textId="54996762" w:rsidR="000D2423" w:rsidRPr="003E202F" w:rsidRDefault="000D2423" w:rsidP="000D2423">
            <w:r>
              <w:t>2a</w:t>
            </w:r>
          </w:p>
        </w:tc>
        <w:tc>
          <w:tcPr>
            <w:tcW w:w="2516" w:type="pct"/>
          </w:tcPr>
          <w:p w14:paraId="08A1BA6E" w14:textId="43156BE1" w:rsidR="000D2423" w:rsidRPr="00CA0942" w:rsidRDefault="000D2423" w:rsidP="00C4220E">
            <w:pPr>
              <w:rPr>
                <w:b/>
                <w:bCs/>
              </w:rPr>
            </w:pPr>
            <w:r w:rsidRPr="00CA0942">
              <w:rPr>
                <w:b/>
                <w:bCs/>
              </w:rPr>
              <w:t>Gender Pay Gap</w:t>
            </w:r>
            <w:r w:rsidR="00D03C2A">
              <w:rPr>
                <w:b/>
                <w:bCs/>
              </w:rPr>
              <w:t xml:space="preserve"> (employee jobs)</w:t>
            </w:r>
          </w:p>
        </w:tc>
        <w:tc>
          <w:tcPr>
            <w:tcW w:w="1858" w:type="pct"/>
          </w:tcPr>
          <w:p w14:paraId="3F79D1EC" w14:textId="5CAB2756" w:rsidR="000D2423" w:rsidRPr="000471F1" w:rsidRDefault="00F77F5C" w:rsidP="00C4220E">
            <w:hyperlink r:id="rId15" w:history="1">
              <w:r w:rsidR="000D2423" w:rsidRPr="006B348A">
                <w:rPr>
                  <w:rStyle w:val="Hyperlink"/>
                </w:rPr>
                <w:t>Annual Survey of Hours and Earnings (ASHE)</w:t>
              </w:r>
            </w:hyperlink>
          </w:p>
        </w:tc>
      </w:tr>
      <w:tr w:rsidR="000D2423" w:rsidRPr="003E202F" w14:paraId="766A0D0A" w14:textId="77777777" w:rsidTr="00F12744">
        <w:tc>
          <w:tcPr>
            <w:tcW w:w="626" w:type="pct"/>
            <w:vMerge/>
          </w:tcPr>
          <w:p w14:paraId="23A12B8A" w14:textId="37926F66" w:rsidR="000D2423" w:rsidRPr="003E202F" w:rsidRDefault="000D2423" w:rsidP="00F12744"/>
        </w:tc>
        <w:tc>
          <w:tcPr>
            <w:tcW w:w="4374" w:type="pct"/>
            <w:gridSpan w:val="2"/>
          </w:tcPr>
          <w:p w14:paraId="40AFBE6D" w14:textId="77777777" w:rsidR="000D2423" w:rsidRDefault="000D2423" w:rsidP="00F12744"/>
          <w:tbl>
            <w:tblPr>
              <w:tblW w:w="6263" w:type="dxa"/>
              <w:tblLayout w:type="fixed"/>
              <w:tblLook w:val="04A0" w:firstRow="1" w:lastRow="0" w:firstColumn="1" w:lastColumn="0" w:noHBand="0" w:noVBand="1"/>
            </w:tblPr>
            <w:tblGrid>
              <w:gridCol w:w="1869"/>
              <w:gridCol w:w="1559"/>
              <w:gridCol w:w="1701"/>
              <w:gridCol w:w="1134"/>
            </w:tblGrid>
            <w:tr w:rsidR="000D2423" w:rsidRPr="00176CB9" w14:paraId="334AD2C2" w14:textId="77777777" w:rsidTr="00176CB9">
              <w:trPr>
                <w:trHeight w:val="30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857E" w14:textId="77777777" w:rsidR="000D2423" w:rsidRPr="00176CB9" w:rsidRDefault="000D2423" w:rsidP="00176CB9">
                  <w:pPr>
                    <w:rPr>
                      <w:rFonts w:ascii="Calibri" w:hAnsi="Calibri" w:cs="Calibri"/>
                      <w:color w:val="000000"/>
                      <w:sz w:val="22"/>
                      <w:szCs w:val="22"/>
                      <w:lang w:eastAsia="en-GB"/>
                    </w:rPr>
                  </w:pPr>
                  <w:r w:rsidRPr="00176CB9">
                    <w:rPr>
                      <w:rFonts w:ascii="Calibri" w:hAnsi="Calibri" w:cs="Calibri"/>
                      <w:color w:val="000000"/>
                      <w:sz w:val="22"/>
                      <w:szCs w:val="22"/>
                      <w:lang w:eastAsia="en-GB"/>
                    </w:rPr>
                    <w:t> </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3C16FE" w14:textId="77777777" w:rsidR="000D2423" w:rsidRPr="00176CB9" w:rsidRDefault="000D2423" w:rsidP="00176CB9">
                  <w:pPr>
                    <w:jc w:val="center"/>
                    <w:rPr>
                      <w:rFonts w:ascii="Calibri" w:hAnsi="Calibri" w:cs="Calibri"/>
                      <w:b/>
                      <w:bCs/>
                      <w:color w:val="000000"/>
                      <w:sz w:val="22"/>
                      <w:szCs w:val="22"/>
                      <w:lang w:eastAsia="en-GB"/>
                    </w:rPr>
                  </w:pPr>
                  <w:r w:rsidRPr="00176CB9">
                    <w:rPr>
                      <w:rFonts w:ascii="Calibri" w:hAnsi="Calibri" w:cs="Calibri"/>
                      <w:b/>
                      <w:bCs/>
                      <w:color w:val="000000"/>
                      <w:sz w:val="22"/>
                      <w:szCs w:val="22"/>
                      <w:lang w:eastAsia="en-GB"/>
                    </w:rPr>
                    <w:t>London</w:t>
                  </w:r>
                </w:p>
              </w:tc>
            </w:tr>
            <w:tr w:rsidR="000D2423" w:rsidRPr="00176CB9" w14:paraId="578BD5C4" w14:textId="77777777" w:rsidTr="00176CB9">
              <w:trPr>
                <w:trHeight w:val="382"/>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58843711" w14:textId="77777777" w:rsidR="000D2423" w:rsidRPr="00176CB9" w:rsidRDefault="000D2423" w:rsidP="00176CB9">
                  <w:pPr>
                    <w:rPr>
                      <w:rFonts w:ascii="Arial" w:hAnsi="Arial" w:cs="Arial"/>
                      <w:b/>
                      <w:bCs/>
                      <w:color w:val="000000"/>
                      <w:sz w:val="20"/>
                      <w:szCs w:val="20"/>
                      <w:lang w:eastAsia="en-GB"/>
                    </w:rPr>
                  </w:pPr>
                  <w:r w:rsidRPr="00176CB9">
                    <w:rPr>
                      <w:rFonts w:ascii="Arial" w:hAnsi="Arial" w:cs="Arial"/>
                      <w:b/>
                      <w:bCs/>
                      <w:color w:val="000000"/>
                      <w:sz w:val="20"/>
                      <w:szCs w:val="20"/>
                      <w:lang w:eastAsia="en-GB"/>
                    </w:rPr>
                    <w:t>Year</w:t>
                  </w:r>
                </w:p>
              </w:tc>
              <w:tc>
                <w:tcPr>
                  <w:tcW w:w="1559" w:type="dxa"/>
                  <w:tcBorders>
                    <w:top w:val="nil"/>
                    <w:left w:val="nil"/>
                    <w:bottom w:val="single" w:sz="4" w:space="0" w:color="auto"/>
                    <w:right w:val="single" w:sz="4" w:space="0" w:color="auto"/>
                  </w:tcBorders>
                  <w:shd w:val="clear" w:color="auto" w:fill="auto"/>
                  <w:vAlign w:val="center"/>
                  <w:hideMark/>
                </w:tcPr>
                <w:p w14:paraId="634168CE" w14:textId="21BEAAF1" w:rsidR="000D2423" w:rsidRPr="00176CB9" w:rsidRDefault="000D2423" w:rsidP="00176CB9">
                  <w:pPr>
                    <w:jc w:val="center"/>
                    <w:rPr>
                      <w:rFonts w:ascii="Calibri" w:hAnsi="Calibri" w:cs="Calibri"/>
                      <w:b/>
                      <w:bCs/>
                      <w:color w:val="000000"/>
                      <w:sz w:val="22"/>
                      <w:szCs w:val="22"/>
                      <w:lang w:eastAsia="en-GB"/>
                    </w:rPr>
                  </w:pPr>
                  <w:r w:rsidRPr="00176CB9">
                    <w:rPr>
                      <w:rFonts w:ascii="Calibri" w:hAnsi="Calibri" w:cs="Calibri"/>
                      <w:b/>
                      <w:bCs/>
                      <w:color w:val="000000"/>
                      <w:sz w:val="22"/>
                      <w:szCs w:val="22"/>
                      <w:lang w:eastAsia="en-GB"/>
                    </w:rPr>
                    <w:t xml:space="preserve">Male </w:t>
                  </w:r>
                  <w:r>
                    <w:rPr>
                      <w:rFonts w:ascii="Calibri" w:hAnsi="Calibri" w:cs="Calibri"/>
                      <w:b/>
                      <w:bCs/>
                      <w:color w:val="000000"/>
                      <w:sz w:val="22"/>
                      <w:szCs w:val="22"/>
                      <w:lang w:eastAsia="en-GB"/>
                    </w:rPr>
                    <w:t xml:space="preserve">Median </w:t>
                  </w:r>
                  <w:r w:rsidRPr="00176CB9">
                    <w:rPr>
                      <w:rFonts w:ascii="Calibri" w:hAnsi="Calibri" w:cs="Calibri"/>
                      <w:b/>
                      <w:bCs/>
                      <w:color w:val="000000"/>
                      <w:sz w:val="22"/>
                      <w:szCs w:val="22"/>
                      <w:lang w:eastAsia="en-GB"/>
                    </w:rPr>
                    <w:t>Hourly Pay (£)</w:t>
                  </w:r>
                </w:p>
              </w:tc>
              <w:tc>
                <w:tcPr>
                  <w:tcW w:w="1701" w:type="dxa"/>
                  <w:tcBorders>
                    <w:top w:val="nil"/>
                    <w:left w:val="nil"/>
                    <w:bottom w:val="single" w:sz="4" w:space="0" w:color="auto"/>
                    <w:right w:val="single" w:sz="4" w:space="0" w:color="auto"/>
                  </w:tcBorders>
                  <w:shd w:val="clear" w:color="auto" w:fill="auto"/>
                  <w:vAlign w:val="center"/>
                  <w:hideMark/>
                </w:tcPr>
                <w:p w14:paraId="5F5E9AAC" w14:textId="615E3AB4" w:rsidR="000D2423" w:rsidRPr="00176CB9" w:rsidRDefault="000D2423" w:rsidP="00176CB9">
                  <w:pPr>
                    <w:jc w:val="center"/>
                    <w:rPr>
                      <w:rFonts w:ascii="Calibri" w:hAnsi="Calibri" w:cs="Calibri"/>
                      <w:b/>
                      <w:bCs/>
                      <w:color w:val="000000"/>
                      <w:sz w:val="22"/>
                      <w:szCs w:val="22"/>
                      <w:lang w:eastAsia="en-GB"/>
                    </w:rPr>
                  </w:pPr>
                  <w:r w:rsidRPr="00176CB9">
                    <w:rPr>
                      <w:rFonts w:ascii="Calibri" w:hAnsi="Calibri" w:cs="Calibri"/>
                      <w:b/>
                      <w:bCs/>
                      <w:color w:val="000000"/>
                      <w:sz w:val="22"/>
                      <w:szCs w:val="22"/>
                      <w:lang w:eastAsia="en-GB"/>
                    </w:rPr>
                    <w:t>Female</w:t>
                  </w:r>
                  <w:r>
                    <w:rPr>
                      <w:rFonts w:ascii="Calibri" w:hAnsi="Calibri" w:cs="Calibri"/>
                      <w:b/>
                      <w:bCs/>
                      <w:color w:val="000000"/>
                      <w:sz w:val="22"/>
                      <w:szCs w:val="22"/>
                      <w:lang w:eastAsia="en-GB"/>
                    </w:rPr>
                    <w:t xml:space="preserve"> Median </w:t>
                  </w:r>
                  <w:r w:rsidRPr="00176CB9">
                    <w:rPr>
                      <w:rFonts w:ascii="Calibri" w:hAnsi="Calibri" w:cs="Calibri"/>
                      <w:b/>
                      <w:bCs/>
                      <w:color w:val="000000"/>
                      <w:sz w:val="22"/>
                      <w:szCs w:val="22"/>
                      <w:lang w:eastAsia="en-GB"/>
                    </w:rPr>
                    <w:t>Hourly Pay (£)</w:t>
                  </w:r>
                </w:p>
              </w:tc>
              <w:tc>
                <w:tcPr>
                  <w:tcW w:w="1134" w:type="dxa"/>
                  <w:tcBorders>
                    <w:top w:val="nil"/>
                    <w:left w:val="nil"/>
                    <w:bottom w:val="single" w:sz="4" w:space="0" w:color="auto"/>
                    <w:right w:val="single" w:sz="4" w:space="0" w:color="auto"/>
                  </w:tcBorders>
                  <w:shd w:val="clear" w:color="auto" w:fill="auto"/>
                  <w:vAlign w:val="center"/>
                  <w:hideMark/>
                </w:tcPr>
                <w:p w14:paraId="4B60B1A5" w14:textId="77777777" w:rsidR="000D2423" w:rsidRPr="00176CB9" w:rsidRDefault="000D2423" w:rsidP="00176CB9">
                  <w:pPr>
                    <w:jc w:val="center"/>
                    <w:rPr>
                      <w:rFonts w:ascii="Calibri" w:hAnsi="Calibri" w:cs="Calibri"/>
                      <w:b/>
                      <w:bCs/>
                      <w:color w:val="000000"/>
                      <w:sz w:val="22"/>
                      <w:szCs w:val="22"/>
                      <w:lang w:eastAsia="en-GB"/>
                    </w:rPr>
                  </w:pPr>
                  <w:r w:rsidRPr="00176CB9">
                    <w:rPr>
                      <w:rFonts w:ascii="Calibri" w:hAnsi="Calibri" w:cs="Calibri"/>
                      <w:b/>
                      <w:bCs/>
                      <w:color w:val="000000"/>
                      <w:sz w:val="22"/>
                      <w:szCs w:val="22"/>
                      <w:lang w:eastAsia="en-GB"/>
                    </w:rPr>
                    <w:t>Pay Gap (%)</w:t>
                  </w:r>
                </w:p>
              </w:tc>
            </w:tr>
            <w:tr w:rsidR="000D2423" w:rsidRPr="00176CB9" w14:paraId="202582EB" w14:textId="77777777" w:rsidTr="00176CB9">
              <w:trPr>
                <w:trHeight w:val="300"/>
              </w:trPr>
              <w:tc>
                <w:tcPr>
                  <w:tcW w:w="1869" w:type="dxa"/>
                  <w:tcBorders>
                    <w:top w:val="nil"/>
                    <w:left w:val="single" w:sz="4" w:space="0" w:color="auto"/>
                    <w:bottom w:val="single" w:sz="4" w:space="0" w:color="auto"/>
                    <w:right w:val="single" w:sz="4" w:space="0" w:color="auto"/>
                  </w:tcBorders>
                  <w:shd w:val="clear" w:color="auto" w:fill="auto"/>
                  <w:noWrap/>
                  <w:vAlign w:val="center"/>
                  <w:hideMark/>
                </w:tcPr>
                <w:p w14:paraId="2A949D57" w14:textId="77777777" w:rsidR="000D2423" w:rsidRPr="00176CB9" w:rsidRDefault="000D2423" w:rsidP="00176CB9">
                  <w:pPr>
                    <w:rPr>
                      <w:rFonts w:ascii="Arial" w:hAnsi="Arial" w:cs="Arial"/>
                      <w:color w:val="000000"/>
                      <w:sz w:val="20"/>
                      <w:szCs w:val="20"/>
                      <w:lang w:eastAsia="en-GB"/>
                    </w:rPr>
                  </w:pPr>
                  <w:r w:rsidRPr="00176CB9">
                    <w:rPr>
                      <w:rFonts w:ascii="Arial" w:hAnsi="Arial" w:cs="Arial"/>
                      <w:color w:val="000000"/>
                      <w:sz w:val="20"/>
                      <w:szCs w:val="20"/>
                      <w:lang w:eastAsia="en-GB"/>
                    </w:rPr>
                    <w:t>2020</w:t>
                  </w:r>
                </w:p>
              </w:tc>
              <w:tc>
                <w:tcPr>
                  <w:tcW w:w="1559" w:type="dxa"/>
                  <w:tcBorders>
                    <w:top w:val="nil"/>
                    <w:left w:val="nil"/>
                    <w:bottom w:val="single" w:sz="4" w:space="0" w:color="auto"/>
                    <w:right w:val="single" w:sz="4" w:space="0" w:color="auto"/>
                  </w:tcBorders>
                  <w:shd w:val="clear" w:color="auto" w:fill="auto"/>
                  <w:noWrap/>
                  <w:hideMark/>
                </w:tcPr>
                <w:p w14:paraId="2264E3FB" w14:textId="77777777" w:rsidR="000D2423" w:rsidRPr="00176CB9" w:rsidRDefault="000D2423" w:rsidP="00176CB9">
                  <w:pPr>
                    <w:jc w:val="right"/>
                    <w:rPr>
                      <w:rFonts w:ascii="Calibri" w:hAnsi="Calibri" w:cs="Calibri"/>
                      <w:sz w:val="22"/>
                      <w:szCs w:val="22"/>
                      <w:lang w:eastAsia="en-GB"/>
                    </w:rPr>
                  </w:pPr>
                  <w:r w:rsidRPr="00176CB9">
                    <w:rPr>
                      <w:rFonts w:ascii="Calibri" w:hAnsi="Calibri" w:cs="Calibri"/>
                      <w:sz w:val="22"/>
                      <w:szCs w:val="22"/>
                      <w:lang w:eastAsia="en-GB"/>
                    </w:rPr>
                    <w:t>20.19</w:t>
                  </w:r>
                </w:p>
              </w:tc>
              <w:tc>
                <w:tcPr>
                  <w:tcW w:w="1701" w:type="dxa"/>
                  <w:tcBorders>
                    <w:top w:val="nil"/>
                    <w:left w:val="nil"/>
                    <w:bottom w:val="single" w:sz="4" w:space="0" w:color="auto"/>
                    <w:right w:val="single" w:sz="4" w:space="0" w:color="auto"/>
                  </w:tcBorders>
                  <w:shd w:val="clear" w:color="auto" w:fill="auto"/>
                  <w:noWrap/>
                  <w:hideMark/>
                </w:tcPr>
                <w:p w14:paraId="138AD1B4" w14:textId="77777777" w:rsidR="000D2423" w:rsidRPr="00176CB9" w:rsidRDefault="000D2423" w:rsidP="00176CB9">
                  <w:pPr>
                    <w:jc w:val="right"/>
                    <w:rPr>
                      <w:rFonts w:ascii="Calibri" w:hAnsi="Calibri" w:cs="Calibri"/>
                      <w:sz w:val="22"/>
                      <w:szCs w:val="22"/>
                      <w:lang w:eastAsia="en-GB"/>
                    </w:rPr>
                  </w:pPr>
                  <w:r w:rsidRPr="00176CB9">
                    <w:rPr>
                      <w:rFonts w:ascii="Calibri" w:hAnsi="Calibri" w:cs="Calibri"/>
                      <w:sz w:val="22"/>
                      <w:szCs w:val="22"/>
                      <w:lang w:eastAsia="en-GB"/>
                    </w:rPr>
                    <w:t>16.61</w:t>
                  </w:r>
                </w:p>
              </w:tc>
              <w:tc>
                <w:tcPr>
                  <w:tcW w:w="1134" w:type="dxa"/>
                  <w:tcBorders>
                    <w:top w:val="nil"/>
                    <w:left w:val="nil"/>
                    <w:bottom w:val="single" w:sz="4" w:space="0" w:color="auto"/>
                    <w:right w:val="single" w:sz="4" w:space="0" w:color="auto"/>
                  </w:tcBorders>
                  <w:shd w:val="clear" w:color="auto" w:fill="auto"/>
                  <w:noWrap/>
                  <w:vAlign w:val="bottom"/>
                  <w:hideMark/>
                </w:tcPr>
                <w:p w14:paraId="4F9B9EBC" w14:textId="77777777" w:rsidR="000D2423" w:rsidRPr="00176CB9" w:rsidRDefault="000D2423" w:rsidP="00176CB9">
                  <w:pPr>
                    <w:jc w:val="right"/>
                    <w:rPr>
                      <w:rFonts w:ascii="Calibri" w:hAnsi="Calibri" w:cs="Calibri"/>
                      <w:color w:val="000000"/>
                      <w:sz w:val="22"/>
                      <w:szCs w:val="22"/>
                      <w:lang w:eastAsia="en-GB"/>
                    </w:rPr>
                  </w:pPr>
                  <w:r w:rsidRPr="00176CB9">
                    <w:rPr>
                      <w:rFonts w:ascii="Calibri" w:hAnsi="Calibri" w:cs="Calibri"/>
                      <w:color w:val="000000"/>
                      <w:sz w:val="22"/>
                      <w:szCs w:val="22"/>
                      <w:lang w:eastAsia="en-GB"/>
                    </w:rPr>
                    <w:t>17.7</w:t>
                  </w:r>
                </w:p>
              </w:tc>
            </w:tr>
            <w:tr w:rsidR="00D03C2A" w:rsidRPr="00176CB9" w14:paraId="6ECB3112" w14:textId="77777777" w:rsidTr="00176CB9">
              <w:trPr>
                <w:trHeight w:val="300"/>
              </w:trPr>
              <w:tc>
                <w:tcPr>
                  <w:tcW w:w="1869" w:type="dxa"/>
                  <w:tcBorders>
                    <w:top w:val="nil"/>
                    <w:left w:val="single" w:sz="4" w:space="0" w:color="auto"/>
                    <w:bottom w:val="single" w:sz="4" w:space="0" w:color="auto"/>
                    <w:right w:val="single" w:sz="4" w:space="0" w:color="auto"/>
                  </w:tcBorders>
                  <w:shd w:val="clear" w:color="auto" w:fill="auto"/>
                  <w:noWrap/>
                  <w:vAlign w:val="center"/>
                </w:tcPr>
                <w:p w14:paraId="3DE9E66C" w14:textId="1953084B" w:rsidR="00D03C2A" w:rsidRPr="00176CB9" w:rsidRDefault="00D03C2A" w:rsidP="00176CB9">
                  <w:pPr>
                    <w:rPr>
                      <w:rFonts w:ascii="Arial" w:hAnsi="Arial" w:cs="Arial"/>
                      <w:color w:val="000000"/>
                      <w:sz w:val="20"/>
                      <w:szCs w:val="20"/>
                      <w:lang w:eastAsia="en-GB"/>
                    </w:rPr>
                  </w:pPr>
                  <w:r w:rsidRPr="00176CB9">
                    <w:rPr>
                      <w:rFonts w:ascii="Calibri" w:hAnsi="Calibri" w:cs="Calibri"/>
                      <w:color w:val="000000"/>
                      <w:sz w:val="22"/>
                      <w:szCs w:val="22"/>
                      <w:lang w:eastAsia="en-GB"/>
                    </w:rPr>
                    <w:t>2021</w:t>
                  </w:r>
                </w:p>
              </w:tc>
              <w:tc>
                <w:tcPr>
                  <w:tcW w:w="1559" w:type="dxa"/>
                  <w:tcBorders>
                    <w:top w:val="nil"/>
                    <w:left w:val="nil"/>
                    <w:bottom w:val="single" w:sz="4" w:space="0" w:color="auto"/>
                    <w:right w:val="single" w:sz="4" w:space="0" w:color="auto"/>
                  </w:tcBorders>
                  <w:shd w:val="clear" w:color="auto" w:fill="auto"/>
                  <w:noWrap/>
                </w:tcPr>
                <w:p w14:paraId="51398EFB" w14:textId="2025EFBC" w:rsidR="00D03C2A" w:rsidRPr="00176CB9" w:rsidRDefault="00D03C2A" w:rsidP="00176CB9">
                  <w:pPr>
                    <w:jc w:val="right"/>
                    <w:rPr>
                      <w:rFonts w:ascii="Calibri" w:hAnsi="Calibri" w:cs="Calibri"/>
                      <w:sz w:val="22"/>
                      <w:szCs w:val="22"/>
                      <w:lang w:eastAsia="en-GB"/>
                    </w:rPr>
                  </w:pPr>
                  <w:r>
                    <w:rPr>
                      <w:rFonts w:ascii="Calibri" w:hAnsi="Calibri" w:cs="Calibri"/>
                      <w:sz w:val="22"/>
                      <w:szCs w:val="22"/>
                      <w:lang w:eastAsia="en-GB"/>
                    </w:rPr>
                    <w:t>20.36</w:t>
                  </w:r>
                </w:p>
              </w:tc>
              <w:tc>
                <w:tcPr>
                  <w:tcW w:w="1701" w:type="dxa"/>
                  <w:tcBorders>
                    <w:top w:val="nil"/>
                    <w:left w:val="nil"/>
                    <w:bottom w:val="single" w:sz="4" w:space="0" w:color="auto"/>
                    <w:right w:val="single" w:sz="4" w:space="0" w:color="auto"/>
                  </w:tcBorders>
                  <w:shd w:val="clear" w:color="auto" w:fill="auto"/>
                  <w:noWrap/>
                </w:tcPr>
                <w:p w14:paraId="282F138B" w14:textId="24D84928" w:rsidR="00D03C2A" w:rsidRPr="00176CB9" w:rsidRDefault="00D03C2A" w:rsidP="00176CB9">
                  <w:pPr>
                    <w:jc w:val="right"/>
                    <w:rPr>
                      <w:rFonts w:ascii="Calibri" w:hAnsi="Calibri" w:cs="Calibri"/>
                      <w:sz w:val="22"/>
                      <w:szCs w:val="22"/>
                      <w:lang w:eastAsia="en-GB"/>
                    </w:rPr>
                  </w:pPr>
                  <w:r>
                    <w:rPr>
                      <w:rFonts w:ascii="Calibri" w:hAnsi="Calibri" w:cs="Calibri"/>
                      <w:sz w:val="22"/>
                      <w:szCs w:val="22"/>
                      <w:lang w:eastAsia="en-GB"/>
                    </w:rPr>
                    <w:t>17.09</w:t>
                  </w:r>
                </w:p>
              </w:tc>
              <w:tc>
                <w:tcPr>
                  <w:tcW w:w="1134" w:type="dxa"/>
                  <w:tcBorders>
                    <w:top w:val="nil"/>
                    <w:left w:val="nil"/>
                    <w:bottom w:val="single" w:sz="4" w:space="0" w:color="auto"/>
                    <w:right w:val="single" w:sz="4" w:space="0" w:color="auto"/>
                  </w:tcBorders>
                  <w:shd w:val="clear" w:color="auto" w:fill="auto"/>
                  <w:noWrap/>
                  <w:vAlign w:val="bottom"/>
                </w:tcPr>
                <w:p w14:paraId="310D859A" w14:textId="270807D1" w:rsidR="00D03C2A" w:rsidRPr="00176CB9" w:rsidRDefault="00D03C2A" w:rsidP="00176CB9">
                  <w:pPr>
                    <w:jc w:val="right"/>
                    <w:rPr>
                      <w:rFonts w:ascii="Calibri" w:hAnsi="Calibri" w:cs="Calibri"/>
                      <w:color w:val="000000"/>
                      <w:sz w:val="22"/>
                      <w:szCs w:val="22"/>
                      <w:lang w:eastAsia="en-GB"/>
                    </w:rPr>
                  </w:pPr>
                  <w:r>
                    <w:rPr>
                      <w:rFonts w:ascii="Calibri" w:hAnsi="Calibri" w:cs="Calibri"/>
                      <w:color w:val="000000"/>
                      <w:sz w:val="22"/>
                      <w:szCs w:val="22"/>
                      <w:lang w:eastAsia="en-GB"/>
                    </w:rPr>
                    <w:t>16.1</w:t>
                  </w:r>
                </w:p>
              </w:tc>
            </w:tr>
            <w:tr w:rsidR="000D2423" w:rsidRPr="00176CB9" w14:paraId="77A438F6" w14:textId="77777777" w:rsidTr="00176CB9">
              <w:trPr>
                <w:trHeight w:val="300"/>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14:paraId="5A1C2512" w14:textId="29712D6A" w:rsidR="000D2423" w:rsidRPr="00176CB9" w:rsidRDefault="000D2423" w:rsidP="00176CB9">
                  <w:pPr>
                    <w:rPr>
                      <w:rFonts w:ascii="Calibri" w:hAnsi="Calibri" w:cs="Calibri"/>
                      <w:color w:val="000000"/>
                      <w:sz w:val="22"/>
                      <w:szCs w:val="22"/>
                      <w:lang w:eastAsia="en-GB"/>
                    </w:rPr>
                  </w:pPr>
                  <w:r w:rsidRPr="00176CB9">
                    <w:rPr>
                      <w:rFonts w:ascii="Calibri" w:hAnsi="Calibri" w:cs="Calibri"/>
                      <w:color w:val="000000"/>
                      <w:sz w:val="22"/>
                      <w:szCs w:val="22"/>
                      <w:lang w:eastAsia="en-GB"/>
                    </w:rPr>
                    <w:t>202</w:t>
                  </w:r>
                  <w:r w:rsidR="00D03C2A">
                    <w:rPr>
                      <w:rFonts w:ascii="Calibri" w:hAnsi="Calibri" w:cs="Calibri"/>
                      <w:color w:val="000000"/>
                      <w:sz w:val="22"/>
                      <w:szCs w:val="22"/>
                      <w:lang w:eastAsia="en-GB"/>
                    </w:rPr>
                    <w:t>2</w:t>
                  </w:r>
                  <w:r w:rsidRPr="00176CB9">
                    <w:rPr>
                      <w:rFonts w:ascii="Calibri" w:hAnsi="Calibri" w:cs="Calibri"/>
                      <w:color w:val="000000"/>
                      <w:sz w:val="22"/>
                      <w:szCs w:val="22"/>
                      <w:lang w:eastAsia="en-GB"/>
                    </w:rPr>
                    <w:t xml:space="preserve"> (provisional)</w:t>
                  </w:r>
                </w:p>
              </w:tc>
              <w:tc>
                <w:tcPr>
                  <w:tcW w:w="1559" w:type="dxa"/>
                  <w:tcBorders>
                    <w:top w:val="nil"/>
                    <w:left w:val="nil"/>
                    <w:bottom w:val="single" w:sz="4" w:space="0" w:color="auto"/>
                    <w:right w:val="single" w:sz="4" w:space="0" w:color="auto"/>
                  </w:tcBorders>
                  <w:shd w:val="clear" w:color="auto" w:fill="auto"/>
                  <w:noWrap/>
                  <w:hideMark/>
                </w:tcPr>
                <w:p w14:paraId="04C70A1F" w14:textId="735A010B" w:rsidR="000D2423" w:rsidRPr="00176CB9" w:rsidRDefault="000D2423" w:rsidP="00176CB9">
                  <w:pPr>
                    <w:jc w:val="right"/>
                    <w:rPr>
                      <w:rFonts w:ascii="Calibri" w:hAnsi="Calibri" w:cs="Calibri"/>
                      <w:sz w:val="22"/>
                      <w:szCs w:val="22"/>
                      <w:lang w:eastAsia="en-GB"/>
                    </w:rPr>
                  </w:pPr>
                  <w:r w:rsidRPr="00176CB9">
                    <w:rPr>
                      <w:rFonts w:ascii="Calibri" w:hAnsi="Calibri" w:cs="Calibri"/>
                      <w:sz w:val="22"/>
                      <w:szCs w:val="22"/>
                      <w:lang w:eastAsia="en-GB"/>
                    </w:rPr>
                    <w:t>20.</w:t>
                  </w:r>
                  <w:r w:rsidR="00D03C2A">
                    <w:rPr>
                      <w:rFonts w:ascii="Calibri" w:hAnsi="Calibri" w:cs="Calibri"/>
                      <w:sz w:val="22"/>
                      <w:szCs w:val="22"/>
                      <w:lang w:eastAsia="en-GB"/>
                    </w:rPr>
                    <w:t>75</w:t>
                  </w:r>
                </w:p>
              </w:tc>
              <w:tc>
                <w:tcPr>
                  <w:tcW w:w="1701" w:type="dxa"/>
                  <w:tcBorders>
                    <w:top w:val="nil"/>
                    <w:left w:val="nil"/>
                    <w:bottom w:val="single" w:sz="4" w:space="0" w:color="auto"/>
                    <w:right w:val="single" w:sz="4" w:space="0" w:color="auto"/>
                  </w:tcBorders>
                  <w:shd w:val="clear" w:color="auto" w:fill="auto"/>
                  <w:noWrap/>
                  <w:hideMark/>
                </w:tcPr>
                <w:p w14:paraId="62DBEDEC" w14:textId="6C4965F4" w:rsidR="000D2423" w:rsidRPr="00176CB9" w:rsidRDefault="000D2423" w:rsidP="00176CB9">
                  <w:pPr>
                    <w:jc w:val="right"/>
                    <w:rPr>
                      <w:rFonts w:ascii="Calibri" w:hAnsi="Calibri" w:cs="Calibri"/>
                      <w:sz w:val="22"/>
                      <w:szCs w:val="22"/>
                      <w:lang w:eastAsia="en-GB"/>
                    </w:rPr>
                  </w:pPr>
                  <w:r w:rsidRPr="00176CB9">
                    <w:rPr>
                      <w:rFonts w:ascii="Calibri" w:hAnsi="Calibri" w:cs="Calibri"/>
                      <w:sz w:val="22"/>
                      <w:szCs w:val="22"/>
                      <w:lang w:eastAsia="en-GB"/>
                    </w:rPr>
                    <w:t>1</w:t>
                  </w:r>
                  <w:r w:rsidR="00D03C2A">
                    <w:rPr>
                      <w:rFonts w:ascii="Calibri" w:hAnsi="Calibri" w:cs="Calibri"/>
                      <w:sz w:val="22"/>
                      <w:szCs w:val="22"/>
                      <w:lang w:eastAsia="en-GB"/>
                    </w:rPr>
                    <w:t>8.05</w:t>
                  </w:r>
                </w:p>
              </w:tc>
              <w:tc>
                <w:tcPr>
                  <w:tcW w:w="1134" w:type="dxa"/>
                  <w:tcBorders>
                    <w:top w:val="nil"/>
                    <w:left w:val="nil"/>
                    <w:bottom w:val="single" w:sz="4" w:space="0" w:color="auto"/>
                    <w:right w:val="single" w:sz="4" w:space="0" w:color="auto"/>
                  </w:tcBorders>
                  <w:shd w:val="clear" w:color="auto" w:fill="auto"/>
                  <w:noWrap/>
                  <w:vAlign w:val="bottom"/>
                  <w:hideMark/>
                </w:tcPr>
                <w:p w14:paraId="2A436C73" w14:textId="3C0BC8FB" w:rsidR="000D2423" w:rsidRPr="00176CB9" w:rsidRDefault="000D2423" w:rsidP="00176CB9">
                  <w:pPr>
                    <w:jc w:val="right"/>
                    <w:rPr>
                      <w:rFonts w:ascii="Calibri" w:hAnsi="Calibri" w:cs="Calibri"/>
                      <w:color w:val="000000"/>
                      <w:sz w:val="22"/>
                      <w:szCs w:val="22"/>
                      <w:lang w:eastAsia="en-GB"/>
                    </w:rPr>
                  </w:pPr>
                  <w:r w:rsidRPr="00176CB9">
                    <w:rPr>
                      <w:rFonts w:ascii="Calibri" w:hAnsi="Calibri" w:cs="Calibri"/>
                      <w:color w:val="000000"/>
                      <w:sz w:val="22"/>
                      <w:szCs w:val="22"/>
                      <w:lang w:eastAsia="en-GB"/>
                    </w:rPr>
                    <w:t>1</w:t>
                  </w:r>
                  <w:r w:rsidR="00D03C2A">
                    <w:rPr>
                      <w:rFonts w:ascii="Calibri" w:hAnsi="Calibri" w:cs="Calibri"/>
                      <w:color w:val="000000"/>
                      <w:sz w:val="22"/>
                      <w:szCs w:val="22"/>
                      <w:lang w:eastAsia="en-GB"/>
                    </w:rPr>
                    <w:t>3.0</w:t>
                  </w:r>
                </w:p>
              </w:tc>
            </w:tr>
          </w:tbl>
          <w:p w14:paraId="15611673" w14:textId="77777777" w:rsidR="000D2423" w:rsidRDefault="000D2423" w:rsidP="00F12744"/>
          <w:p w14:paraId="791003AD" w14:textId="31293849" w:rsidR="000D2423" w:rsidRDefault="000D2423" w:rsidP="00F12744"/>
        </w:tc>
      </w:tr>
      <w:tr w:rsidR="000D2423" w:rsidRPr="003E202F" w14:paraId="209CA512" w14:textId="77777777" w:rsidTr="000D2423">
        <w:tc>
          <w:tcPr>
            <w:tcW w:w="626" w:type="pct"/>
            <w:vMerge w:val="restart"/>
            <w:vAlign w:val="center"/>
          </w:tcPr>
          <w:p w14:paraId="61EF6FF4" w14:textId="2A239EA7" w:rsidR="000D2423" w:rsidRPr="003E202F" w:rsidRDefault="000D2423" w:rsidP="000D2423">
            <w:r>
              <w:t>2b</w:t>
            </w:r>
          </w:p>
        </w:tc>
        <w:tc>
          <w:tcPr>
            <w:tcW w:w="2516" w:type="pct"/>
          </w:tcPr>
          <w:p w14:paraId="39A6DA54" w14:textId="4C6969D8" w:rsidR="000D2423" w:rsidRPr="004C361A" w:rsidRDefault="000D2423" w:rsidP="00C4220E">
            <w:pPr>
              <w:rPr>
                <w:b/>
                <w:bCs/>
              </w:rPr>
            </w:pPr>
            <w:r w:rsidRPr="004C361A">
              <w:rPr>
                <w:b/>
                <w:bCs/>
              </w:rPr>
              <w:t xml:space="preserve">Ethnicity </w:t>
            </w:r>
            <w:r>
              <w:rPr>
                <w:b/>
                <w:bCs/>
              </w:rPr>
              <w:t>pay</w:t>
            </w:r>
            <w:r w:rsidRPr="004C361A">
              <w:rPr>
                <w:b/>
                <w:bCs/>
              </w:rPr>
              <w:t xml:space="preserve"> gap</w:t>
            </w:r>
            <w:r w:rsidR="00D03C2A">
              <w:rPr>
                <w:b/>
                <w:bCs/>
              </w:rPr>
              <w:t xml:space="preserve"> (workplace</w:t>
            </w:r>
            <w:r w:rsidR="00EE5886">
              <w:rPr>
                <w:b/>
                <w:bCs/>
              </w:rPr>
              <w:t>-</w:t>
            </w:r>
            <w:r w:rsidR="00D03C2A">
              <w:rPr>
                <w:b/>
                <w:bCs/>
              </w:rPr>
              <w:t>based)</w:t>
            </w:r>
          </w:p>
          <w:p w14:paraId="51129790" w14:textId="3912B460" w:rsidR="000D2423" w:rsidRPr="000471F1" w:rsidRDefault="000D2423" w:rsidP="00C4220E"/>
        </w:tc>
        <w:tc>
          <w:tcPr>
            <w:tcW w:w="1858" w:type="pct"/>
          </w:tcPr>
          <w:p w14:paraId="514D615A" w14:textId="18DAA75B" w:rsidR="000D2423" w:rsidRPr="000471F1" w:rsidRDefault="00F77F5C" w:rsidP="00C4220E">
            <w:hyperlink r:id="rId16" w:history="1">
              <w:r w:rsidR="000D2423" w:rsidRPr="006B348A">
                <w:rPr>
                  <w:rStyle w:val="Hyperlink"/>
                </w:rPr>
                <w:t>Annual Population Survey (APS)</w:t>
              </w:r>
            </w:hyperlink>
          </w:p>
        </w:tc>
      </w:tr>
      <w:tr w:rsidR="000D2423" w:rsidRPr="003E202F" w14:paraId="7890AAA3" w14:textId="77777777" w:rsidTr="00F12744">
        <w:tc>
          <w:tcPr>
            <w:tcW w:w="626" w:type="pct"/>
            <w:vMerge/>
          </w:tcPr>
          <w:p w14:paraId="25186B60" w14:textId="77777777" w:rsidR="000D2423" w:rsidRPr="003E202F" w:rsidRDefault="000D2423" w:rsidP="00AD0BF6"/>
        </w:tc>
        <w:tc>
          <w:tcPr>
            <w:tcW w:w="4374" w:type="pct"/>
            <w:gridSpan w:val="2"/>
          </w:tcPr>
          <w:p w14:paraId="3A096AE3" w14:textId="77777777" w:rsidR="000D2423" w:rsidRDefault="000D2423" w:rsidP="00AD0BF6"/>
          <w:tbl>
            <w:tblPr>
              <w:tblW w:w="7539" w:type="dxa"/>
              <w:tblLayout w:type="fixed"/>
              <w:tblLook w:val="04A0" w:firstRow="1" w:lastRow="0" w:firstColumn="1" w:lastColumn="0" w:noHBand="0" w:noVBand="1"/>
            </w:tblPr>
            <w:tblGrid>
              <w:gridCol w:w="4700"/>
              <w:gridCol w:w="1421"/>
              <w:gridCol w:w="1418"/>
            </w:tblGrid>
            <w:tr w:rsidR="000D2423" w:rsidRPr="00D8773C" w14:paraId="484B4C4D" w14:textId="77777777" w:rsidTr="00F01733">
              <w:trPr>
                <w:trHeight w:val="300"/>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4BD13" w14:textId="77777777" w:rsidR="000D2423" w:rsidRPr="00D8773C" w:rsidRDefault="000D2423" w:rsidP="00D8773C">
                  <w:pPr>
                    <w:rPr>
                      <w:rFonts w:ascii="Calibri" w:hAnsi="Calibri" w:cs="Calibri"/>
                      <w:b/>
                      <w:bCs/>
                      <w:color w:val="000000"/>
                      <w:sz w:val="22"/>
                      <w:szCs w:val="22"/>
                      <w:lang w:eastAsia="en-GB"/>
                    </w:rPr>
                  </w:pPr>
                  <w:r w:rsidRPr="00D8773C">
                    <w:rPr>
                      <w:rFonts w:ascii="Calibri" w:hAnsi="Calibri" w:cs="Calibri"/>
                      <w:b/>
                      <w:bCs/>
                      <w:color w:val="000000"/>
                      <w:sz w:val="22"/>
                      <w:szCs w:val="22"/>
                      <w:lang w:eastAsia="en-GB"/>
                    </w:rPr>
                    <w:t>London</w:t>
                  </w:r>
                </w:p>
              </w:tc>
              <w:tc>
                <w:tcPr>
                  <w:tcW w:w="28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E6760A" w14:textId="77777777" w:rsidR="000D2423" w:rsidRPr="00D8773C" w:rsidRDefault="000D2423" w:rsidP="00D8773C">
                  <w:pPr>
                    <w:jc w:val="center"/>
                    <w:rPr>
                      <w:rFonts w:ascii="Calibri" w:hAnsi="Calibri" w:cs="Calibri"/>
                      <w:b/>
                      <w:bCs/>
                      <w:color w:val="000000"/>
                      <w:sz w:val="22"/>
                      <w:szCs w:val="22"/>
                      <w:lang w:eastAsia="en-GB"/>
                    </w:rPr>
                  </w:pPr>
                  <w:r w:rsidRPr="00D8773C">
                    <w:rPr>
                      <w:rFonts w:ascii="Calibri" w:hAnsi="Calibri" w:cs="Calibri"/>
                      <w:b/>
                      <w:bCs/>
                      <w:color w:val="000000"/>
                      <w:sz w:val="22"/>
                      <w:szCs w:val="22"/>
                      <w:lang w:eastAsia="en-GB"/>
                    </w:rPr>
                    <w:t>2019</w:t>
                  </w:r>
                </w:p>
              </w:tc>
            </w:tr>
            <w:tr w:rsidR="000D2423" w:rsidRPr="00D8773C" w14:paraId="22A47845" w14:textId="77777777" w:rsidTr="00F01733">
              <w:trPr>
                <w:trHeight w:val="415"/>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BBB0AC1"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 </w:t>
                  </w:r>
                </w:p>
              </w:tc>
              <w:tc>
                <w:tcPr>
                  <w:tcW w:w="1421" w:type="dxa"/>
                  <w:tcBorders>
                    <w:top w:val="nil"/>
                    <w:left w:val="nil"/>
                    <w:bottom w:val="single" w:sz="4" w:space="0" w:color="auto"/>
                    <w:right w:val="single" w:sz="4" w:space="0" w:color="auto"/>
                  </w:tcBorders>
                  <w:shd w:val="clear" w:color="auto" w:fill="auto"/>
                  <w:vAlign w:val="bottom"/>
                  <w:hideMark/>
                </w:tcPr>
                <w:p w14:paraId="21984D5B" w14:textId="77777777" w:rsidR="000D2423" w:rsidRPr="00D8773C" w:rsidRDefault="000D2423" w:rsidP="00D8773C">
                  <w:pPr>
                    <w:rPr>
                      <w:rFonts w:ascii="Calibri" w:hAnsi="Calibri" w:cs="Calibri"/>
                      <w:b/>
                      <w:bCs/>
                      <w:color w:val="000000"/>
                      <w:sz w:val="22"/>
                      <w:szCs w:val="22"/>
                      <w:lang w:eastAsia="en-GB"/>
                    </w:rPr>
                  </w:pPr>
                  <w:r w:rsidRPr="00D8773C">
                    <w:rPr>
                      <w:rFonts w:ascii="Calibri" w:hAnsi="Calibri" w:cs="Calibri"/>
                      <w:b/>
                      <w:bCs/>
                      <w:color w:val="000000"/>
                      <w:sz w:val="22"/>
                      <w:szCs w:val="22"/>
                      <w:lang w:eastAsia="en-GB"/>
                    </w:rPr>
                    <w:t>Median pay (£ per hour)</w:t>
                  </w:r>
                </w:p>
              </w:tc>
              <w:tc>
                <w:tcPr>
                  <w:tcW w:w="1418" w:type="dxa"/>
                  <w:tcBorders>
                    <w:top w:val="nil"/>
                    <w:left w:val="nil"/>
                    <w:bottom w:val="single" w:sz="4" w:space="0" w:color="auto"/>
                    <w:right w:val="single" w:sz="4" w:space="0" w:color="auto"/>
                  </w:tcBorders>
                  <w:shd w:val="clear" w:color="auto" w:fill="auto"/>
                  <w:vAlign w:val="bottom"/>
                  <w:hideMark/>
                </w:tcPr>
                <w:p w14:paraId="6ADC5B39" w14:textId="38A5EA6C" w:rsidR="000D2423" w:rsidRPr="00D8773C" w:rsidRDefault="000D2423" w:rsidP="00D8773C">
                  <w:pPr>
                    <w:rPr>
                      <w:rFonts w:ascii="Calibri" w:hAnsi="Calibri" w:cs="Calibri"/>
                      <w:b/>
                      <w:bCs/>
                      <w:color w:val="000000"/>
                      <w:sz w:val="22"/>
                      <w:szCs w:val="22"/>
                      <w:lang w:eastAsia="en-GB"/>
                    </w:rPr>
                  </w:pPr>
                  <w:r w:rsidRPr="00D8773C">
                    <w:rPr>
                      <w:rFonts w:ascii="Calibri" w:hAnsi="Calibri" w:cs="Calibri"/>
                      <w:b/>
                      <w:bCs/>
                      <w:color w:val="000000"/>
                      <w:sz w:val="22"/>
                      <w:szCs w:val="22"/>
                      <w:lang w:eastAsia="en-GB"/>
                    </w:rPr>
                    <w:t>Median pay gaps</w:t>
                  </w:r>
                  <w:r>
                    <w:rPr>
                      <w:rFonts w:ascii="Calibri" w:hAnsi="Calibri" w:cs="Calibri"/>
                      <w:b/>
                      <w:bCs/>
                      <w:color w:val="000000"/>
                      <w:sz w:val="22"/>
                      <w:szCs w:val="22"/>
                      <w:lang w:eastAsia="en-GB"/>
                    </w:rPr>
                    <w:t xml:space="preserve"> (%)</w:t>
                  </w:r>
                </w:p>
              </w:tc>
            </w:tr>
            <w:tr w:rsidR="000D2423" w:rsidRPr="00D8773C" w14:paraId="12C198A6"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AA6AB89"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w:t>
                  </w:r>
                </w:p>
              </w:tc>
              <w:tc>
                <w:tcPr>
                  <w:tcW w:w="1421" w:type="dxa"/>
                  <w:tcBorders>
                    <w:top w:val="nil"/>
                    <w:left w:val="nil"/>
                    <w:bottom w:val="single" w:sz="4" w:space="0" w:color="auto"/>
                    <w:right w:val="single" w:sz="4" w:space="0" w:color="auto"/>
                  </w:tcBorders>
                  <w:shd w:val="clear" w:color="auto" w:fill="auto"/>
                  <w:noWrap/>
                  <w:vAlign w:val="bottom"/>
                  <w:hideMark/>
                </w:tcPr>
                <w:p w14:paraId="070F70A7"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18.75</w:t>
                  </w:r>
                </w:p>
              </w:tc>
              <w:tc>
                <w:tcPr>
                  <w:tcW w:w="1418" w:type="dxa"/>
                  <w:tcBorders>
                    <w:top w:val="nil"/>
                    <w:left w:val="nil"/>
                    <w:bottom w:val="single" w:sz="4" w:space="0" w:color="auto"/>
                    <w:right w:val="single" w:sz="4" w:space="0" w:color="auto"/>
                  </w:tcBorders>
                  <w:shd w:val="clear" w:color="auto" w:fill="auto"/>
                  <w:vAlign w:val="bottom"/>
                  <w:hideMark/>
                </w:tcPr>
                <w:p w14:paraId="76616DE3"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 </w:t>
                  </w:r>
                </w:p>
              </w:tc>
            </w:tr>
            <w:tr w:rsidR="000D2423" w:rsidRPr="00D8773C" w14:paraId="2D9D7695"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2809E376"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w:t>
                  </w:r>
                </w:p>
              </w:tc>
              <w:tc>
                <w:tcPr>
                  <w:tcW w:w="1421" w:type="dxa"/>
                  <w:tcBorders>
                    <w:top w:val="nil"/>
                    <w:left w:val="nil"/>
                    <w:bottom w:val="single" w:sz="4" w:space="0" w:color="auto"/>
                    <w:right w:val="single" w:sz="4" w:space="0" w:color="auto"/>
                  </w:tcBorders>
                  <w:shd w:val="clear" w:color="auto" w:fill="auto"/>
                  <w:noWrap/>
                  <w:vAlign w:val="bottom"/>
                  <w:hideMark/>
                </w:tcPr>
                <w:p w14:paraId="1E67E077"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19.24</w:t>
                  </w:r>
                </w:p>
              </w:tc>
              <w:tc>
                <w:tcPr>
                  <w:tcW w:w="1418" w:type="dxa"/>
                  <w:tcBorders>
                    <w:top w:val="nil"/>
                    <w:left w:val="nil"/>
                    <w:bottom w:val="single" w:sz="4" w:space="0" w:color="auto"/>
                    <w:right w:val="single" w:sz="4" w:space="0" w:color="auto"/>
                  </w:tcBorders>
                  <w:shd w:val="clear" w:color="auto" w:fill="auto"/>
                  <w:vAlign w:val="bottom"/>
                  <w:hideMark/>
                </w:tcPr>
                <w:p w14:paraId="121AEA5C"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 </w:t>
                  </w:r>
                </w:p>
              </w:tc>
            </w:tr>
            <w:tr w:rsidR="000D2423" w:rsidRPr="00D8773C" w14:paraId="3BFA1083"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CDAFD96" w14:textId="3D448FA3" w:rsidR="000D2423" w:rsidRPr="00D8773C" w:rsidRDefault="000D2423" w:rsidP="00D8773C">
                  <w:pPr>
                    <w:rPr>
                      <w:rFonts w:ascii="Calibri" w:hAnsi="Calibri" w:cs="Calibri"/>
                      <w:b/>
                      <w:bCs/>
                      <w:color w:val="000000"/>
                      <w:sz w:val="22"/>
                      <w:szCs w:val="22"/>
                      <w:lang w:eastAsia="en-GB"/>
                    </w:rPr>
                  </w:pPr>
                  <w:r w:rsidRPr="00D8773C">
                    <w:rPr>
                      <w:rFonts w:ascii="Calibri" w:hAnsi="Calibri" w:cs="Calibri"/>
                      <w:b/>
                      <w:bCs/>
                      <w:color w:val="000000"/>
                      <w:sz w:val="22"/>
                      <w:szCs w:val="22"/>
                      <w:lang w:eastAsia="en-GB"/>
                    </w:rPr>
                    <w:t>White/</w:t>
                  </w:r>
                  <w:r>
                    <w:rPr>
                      <w:rFonts w:ascii="Calibri" w:hAnsi="Calibri" w:cs="Calibri"/>
                      <w:b/>
                      <w:bCs/>
                      <w:color w:val="000000"/>
                      <w:sz w:val="22"/>
                      <w:szCs w:val="22"/>
                      <w:lang w:eastAsia="en-GB"/>
                    </w:rPr>
                    <w:t>Other than White</w:t>
                  </w:r>
                </w:p>
              </w:tc>
              <w:tc>
                <w:tcPr>
                  <w:tcW w:w="1421" w:type="dxa"/>
                  <w:tcBorders>
                    <w:top w:val="nil"/>
                    <w:left w:val="nil"/>
                    <w:bottom w:val="single" w:sz="4" w:space="0" w:color="auto"/>
                    <w:right w:val="single" w:sz="4" w:space="0" w:color="auto"/>
                  </w:tcBorders>
                  <w:shd w:val="clear" w:color="auto" w:fill="auto"/>
                  <w:noWrap/>
                  <w:vAlign w:val="bottom"/>
                  <w:hideMark/>
                </w:tcPr>
                <w:p w14:paraId="483F1399"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13.46</w:t>
                  </w:r>
                </w:p>
              </w:tc>
              <w:tc>
                <w:tcPr>
                  <w:tcW w:w="1418" w:type="dxa"/>
                  <w:tcBorders>
                    <w:top w:val="nil"/>
                    <w:left w:val="nil"/>
                    <w:bottom w:val="single" w:sz="4" w:space="0" w:color="auto"/>
                    <w:right w:val="single" w:sz="4" w:space="0" w:color="auto"/>
                  </w:tcBorders>
                  <w:shd w:val="clear" w:color="auto" w:fill="auto"/>
                  <w:noWrap/>
                  <w:vAlign w:val="bottom"/>
                  <w:hideMark/>
                </w:tcPr>
                <w:p w14:paraId="36DF9F96"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28.2</w:t>
                  </w:r>
                </w:p>
              </w:tc>
            </w:tr>
            <w:tr w:rsidR="000D2423" w:rsidRPr="00D8773C" w14:paraId="68D7FF96"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3585553"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 </w:t>
                  </w:r>
                </w:p>
              </w:tc>
              <w:tc>
                <w:tcPr>
                  <w:tcW w:w="1421" w:type="dxa"/>
                  <w:tcBorders>
                    <w:top w:val="nil"/>
                    <w:left w:val="nil"/>
                    <w:bottom w:val="single" w:sz="4" w:space="0" w:color="auto"/>
                    <w:right w:val="single" w:sz="4" w:space="0" w:color="auto"/>
                  </w:tcBorders>
                  <w:shd w:val="clear" w:color="auto" w:fill="auto"/>
                  <w:noWrap/>
                  <w:vAlign w:val="bottom"/>
                  <w:hideMark/>
                </w:tcPr>
                <w:p w14:paraId="6ECDFB8F" w14:textId="77777777" w:rsidR="000D2423" w:rsidRPr="00D8773C" w:rsidRDefault="000D2423" w:rsidP="00D8773C">
                  <w:pPr>
                    <w:rPr>
                      <w:rFonts w:ascii="Arial" w:hAnsi="Arial" w:cs="Arial"/>
                      <w:sz w:val="20"/>
                      <w:szCs w:val="20"/>
                      <w:lang w:eastAsia="en-GB"/>
                    </w:rPr>
                  </w:pPr>
                  <w:r w:rsidRPr="00D8773C">
                    <w:rPr>
                      <w:rFonts w:ascii="Arial" w:hAnsi="Arial" w:cs="Arial"/>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6F3895CE"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 </w:t>
                  </w:r>
                </w:p>
              </w:tc>
            </w:tr>
            <w:tr w:rsidR="000D2423" w:rsidRPr="00D8773C" w14:paraId="7277A0D9"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1751228"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British/White Irish</w:t>
                  </w:r>
                </w:p>
              </w:tc>
              <w:tc>
                <w:tcPr>
                  <w:tcW w:w="1421" w:type="dxa"/>
                  <w:tcBorders>
                    <w:top w:val="nil"/>
                    <w:left w:val="nil"/>
                    <w:bottom w:val="single" w:sz="4" w:space="0" w:color="auto"/>
                    <w:right w:val="single" w:sz="4" w:space="0" w:color="auto"/>
                  </w:tcBorders>
                  <w:shd w:val="clear" w:color="auto" w:fill="auto"/>
                  <w:noWrap/>
                  <w:vAlign w:val="bottom"/>
                  <w:hideMark/>
                </w:tcPr>
                <w:p w14:paraId="43465B41"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21.63</w:t>
                  </w:r>
                </w:p>
              </w:tc>
              <w:tc>
                <w:tcPr>
                  <w:tcW w:w="1418" w:type="dxa"/>
                  <w:tcBorders>
                    <w:top w:val="nil"/>
                    <w:left w:val="nil"/>
                    <w:bottom w:val="single" w:sz="4" w:space="0" w:color="auto"/>
                    <w:right w:val="single" w:sz="4" w:space="0" w:color="auto"/>
                  </w:tcBorders>
                  <w:shd w:val="clear" w:color="auto" w:fill="auto"/>
                  <w:noWrap/>
                  <w:vAlign w:val="bottom"/>
                  <w:hideMark/>
                </w:tcPr>
                <w:p w14:paraId="7D279477"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-12.4</w:t>
                  </w:r>
                </w:p>
              </w:tc>
            </w:tr>
            <w:tr w:rsidR="000D2423" w:rsidRPr="00D8773C" w14:paraId="05296F05"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72629C57"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British/Any Other White</w:t>
                  </w:r>
                </w:p>
              </w:tc>
              <w:tc>
                <w:tcPr>
                  <w:tcW w:w="1421" w:type="dxa"/>
                  <w:tcBorders>
                    <w:top w:val="nil"/>
                    <w:left w:val="nil"/>
                    <w:bottom w:val="single" w:sz="4" w:space="0" w:color="auto"/>
                    <w:right w:val="single" w:sz="4" w:space="0" w:color="auto"/>
                  </w:tcBorders>
                  <w:shd w:val="clear" w:color="auto" w:fill="auto"/>
                  <w:noWrap/>
                  <w:vAlign w:val="bottom"/>
                  <w:hideMark/>
                </w:tcPr>
                <w:p w14:paraId="4C14AB05"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15.88</w:t>
                  </w:r>
                </w:p>
              </w:tc>
              <w:tc>
                <w:tcPr>
                  <w:tcW w:w="1418" w:type="dxa"/>
                  <w:tcBorders>
                    <w:top w:val="nil"/>
                    <w:left w:val="nil"/>
                    <w:bottom w:val="single" w:sz="4" w:space="0" w:color="auto"/>
                    <w:right w:val="single" w:sz="4" w:space="0" w:color="auto"/>
                  </w:tcBorders>
                  <w:shd w:val="clear" w:color="auto" w:fill="auto"/>
                  <w:noWrap/>
                  <w:vAlign w:val="bottom"/>
                  <w:hideMark/>
                </w:tcPr>
                <w:p w14:paraId="4FF1AA91"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17.5</w:t>
                  </w:r>
                </w:p>
              </w:tc>
            </w:tr>
            <w:tr w:rsidR="000D2423" w:rsidRPr="00D8773C" w14:paraId="62D62620"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2194CD56"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British/Mixed or Multiple ethnic groups</w:t>
                  </w:r>
                </w:p>
              </w:tc>
              <w:tc>
                <w:tcPr>
                  <w:tcW w:w="1421" w:type="dxa"/>
                  <w:tcBorders>
                    <w:top w:val="nil"/>
                    <w:left w:val="nil"/>
                    <w:bottom w:val="single" w:sz="4" w:space="0" w:color="auto"/>
                    <w:right w:val="single" w:sz="4" w:space="0" w:color="auto"/>
                  </w:tcBorders>
                  <w:shd w:val="clear" w:color="auto" w:fill="auto"/>
                  <w:noWrap/>
                  <w:vAlign w:val="bottom"/>
                  <w:hideMark/>
                </w:tcPr>
                <w:p w14:paraId="649630C2"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14.64</w:t>
                  </w:r>
                </w:p>
              </w:tc>
              <w:tc>
                <w:tcPr>
                  <w:tcW w:w="1418" w:type="dxa"/>
                  <w:tcBorders>
                    <w:top w:val="nil"/>
                    <w:left w:val="nil"/>
                    <w:bottom w:val="single" w:sz="4" w:space="0" w:color="auto"/>
                    <w:right w:val="single" w:sz="4" w:space="0" w:color="auto"/>
                  </w:tcBorders>
                  <w:shd w:val="clear" w:color="auto" w:fill="auto"/>
                  <w:noWrap/>
                  <w:vAlign w:val="bottom"/>
                  <w:hideMark/>
                </w:tcPr>
                <w:p w14:paraId="70D97E7B"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23.9</w:t>
                  </w:r>
                </w:p>
              </w:tc>
            </w:tr>
            <w:tr w:rsidR="000D2423" w:rsidRPr="00D8773C" w14:paraId="432FB5BC"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C8173C3"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British/Chinese</w:t>
                  </w:r>
                </w:p>
              </w:tc>
              <w:tc>
                <w:tcPr>
                  <w:tcW w:w="1421" w:type="dxa"/>
                  <w:tcBorders>
                    <w:top w:val="nil"/>
                    <w:left w:val="nil"/>
                    <w:bottom w:val="single" w:sz="4" w:space="0" w:color="auto"/>
                    <w:right w:val="single" w:sz="4" w:space="0" w:color="auto"/>
                  </w:tcBorders>
                  <w:shd w:val="clear" w:color="auto" w:fill="auto"/>
                  <w:noWrap/>
                  <w:vAlign w:val="bottom"/>
                  <w:hideMark/>
                </w:tcPr>
                <w:p w14:paraId="1D42ED63"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17.71</w:t>
                  </w:r>
                </w:p>
              </w:tc>
              <w:tc>
                <w:tcPr>
                  <w:tcW w:w="1418" w:type="dxa"/>
                  <w:tcBorders>
                    <w:top w:val="nil"/>
                    <w:left w:val="nil"/>
                    <w:bottom w:val="single" w:sz="4" w:space="0" w:color="auto"/>
                    <w:right w:val="single" w:sz="4" w:space="0" w:color="auto"/>
                  </w:tcBorders>
                  <w:shd w:val="clear" w:color="auto" w:fill="auto"/>
                  <w:noWrap/>
                  <w:vAlign w:val="bottom"/>
                  <w:hideMark/>
                </w:tcPr>
                <w:p w14:paraId="2B99B7DF"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8.0</w:t>
                  </w:r>
                </w:p>
              </w:tc>
            </w:tr>
            <w:tr w:rsidR="000D2423" w:rsidRPr="00D8773C" w14:paraId="09EF12DD"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85BD154"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British/Indian</w:t>
                  </w:r>
                </w:p>
              </w:tc>
              <w:tc>
                <w:tcPr>
                  <w:tcW w:w="1421" w:type="dxa"/>
                  <w:tcBorders>
                    <w:top w:val="nil"/>
                    <w:left w:val="nil"/>
                    <w:bottom w:val="single" w:sz="4" w:space="0" w:color="auto"/>
                    <w:right w:val="single" w:sz="4" w:space="0" w:color="auto"/>
                  </w:tcBorders>
                  <w:shd w:val="clear" w:color="auto" w:fill="auto"/>
                  <w:noWrap/>
                  <w:vAlign w:val="bottom"/>
                  <w:hideMark/>
                </w:tcPr>
                <w:p w14:paraId="157A49CD"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17.71</w:t>
                  </w:r>
                </w:p>
              </w:tc>
              <w:tc>
                <w:tcPr>
                  <w:tcW w:w="1418" w:type="dxa"/>
                  <w:tcBorders>
                    <w:top w:val="nil"/>
                    <w:left w:val="nil"/>
                    <w:bottom w:val="single" w:sz="4" w:space="0" w:color="auto"/>
                    <w:right w:val="single" w:sz="4" w:space="0" w:color="auto"/>
                  </w:tcBorders>
                  <w:shd w:val="clear" w:color="auto" w:fill="auto"/>
                  <w:noWrap/>
                  <w:vAlign w:val="bottom"/>
                  <w:hideMark/>
                </w:tcPr>
                <w:p w14:paraId="0F6DFF7D"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8.0</w:t>
                  </w:r>
                </w:p>
              </w:tc>
            </w:tr>
            <w:tr w:rsidR="000D2423" w:rsidRPr="00D8773C" w14:paraId="38BF2DD2"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33B36175"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British/Pakistani</w:t>
                  </w:r>
                </w:p>
              </w:tc>
              <w:tc>
                <w:tcPr>
                  <w:tcW w:w="1421" w:type="dxa"/>
                  <w:tcBorders>
                    <w:top w:val="nil"/>
                    <w:left w:val="nil"/>
                    <w:bottom w:val="single" w:sz="4" w:space="0" w:color="auto"/>
                    <w:right w:val="single" w:sz="4" w:space="0" w:color="auto"/>
                  </w:tcBorders>
                  <w:shd w:val="clear" w:color="auto" w:fill="auto"/>
                  <w:noWrap/>
                  <w:vAlign w:val="bottom"/>
                  <w:hideMark/>
                </w:tcPr>
                <w:p w14:paraId="03AE8FB0"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12.12</w:t>
                  </w:r>
                </w:p>
              </w:tc>
              <w:tc>
                <w:tcPr>
                  <w:tcW w:w="1418" w:type="dxa"/>
                  <w:tcBorders>
                    <w:top w:val="nil"/>
                    <w:left w:val="nil"/>
                    <w:bottom w:val="single" w:sz="4" w:space="0" w:color="auto"/>
                    <w:right w:val="single" w:sz="4" w:space="0" w:color="auto"/>
                  </w:tcBorders>
                  <w:shd w:val="clear" w:color="auto" w:fill="auto"/>
                  <w:noWrap/>
                  <w:vAlign w:val="bottom"/>
                  <w:hideMark/>
                </w:tcPr>
                <w:p w14:paraId="5ACAFFAB"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37.0</w:t>
                  </w:r>
                </w:p>
              </w:tc>
            </w:tr>
            <w:tr w:rsidR="000D2423" w:rsidRPr="00D8773C" w14:paraId="561F378F"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94D9DF2"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British/Bangladeshi</w:t>
                  </w:r>
                </w:p>
              </w:tc>
              <w:tc>
                <w:tcPr>
                  <w:tcW w:w="1421" w:type="dxa"/>
                  <w:tcBorders>
                    <w:top w:val="nil"/>
                    <w:left w:val="nil"/>
                    <w:bottom w:val="single" w:sz="4" w:space="0" w:color="auto"/>
                    <w:right w:val="single" w:sz="4" w:space="0" w:color="auto"/>
                  </w:tcBorders>
                  <w:shd w:val="clear" w:color="auto" w:fill="auto"/>
                  <w:noWrap/>
                  <w:vAlign w:val="bottom"/>
                  <w:hideMark/>
                </w:tcPr>
                <w:p w14:paraId="51B0F96C"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12.63</w:t>
                  </w:r>
                </w:p>
              </w:tc>
              <w:tc>
                <w:tcPr>
                  <w:tcW w:w="1418" w:type="dxa"/>
                  <w:tcBorders>
                    <w:top w:val="nil"/>
                    <w:left w:val="nil"/>
                    <w:bottom w:val="single" w:sz="4" w:space="0" w:color="auto"/>
                    <w:right w:val="single" w:sz="4" w:space="0" w:color="auto"/>
                  </w:tcBorders>
                  <w:shd w:val="clear" w:color="auto" w:fill="auto"/>
                  <w:noWrap/>
                  <w:vAlign w:val="bottom"/>
                  <w:hideMark/>
                </w:tcPr>
                <w:p w14:paraId="0D5D7A08"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34.4</w:t>
                  </w:r>
                </w:p>
              </w:tc>
            </w:tr>
            <w:tr w:rsidR="000D2423" w:rsidRPr="00D8773C" w14:paraId="23D783A6"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06A33AB3"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British/Any other Asian</w:t>
                  </w:r>
                </w:p>
              </w:tc>
              <w:tc>
                <w:tcPr>
                  <w:tcW w:w="1421" w:type="dxa"/>
                  <w:tcBorders>
                    <w:top w:val="nil"/>
                    <w:left w:val="nil"/>
                    <w:bottom w:val="single" w:sz="4" w:space="0" w:color="auto"/>
                    <w:right w:val="single" w:sz="4" w:space="0" w:color="auto"/>
                  </w:tcBorders>
                  <w:shd w:val="clear" w:color="auto" w:fill="auto"/>
                  <w:noWrap/>
                  <w:vAlign w:val="bottom"/>
                  <w:hideMark/>
                </w:tcPr>
                <w:p w14:paraId="3F0F9F06"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12.76</w:t>
                  </w:r>
                </w:p>
              </w:tc>
              <w:tc>
                <w:tcPr>
                  <w:tcW w:w="1418" w:type="dxa"/>
                  <w:tcBorders>
                    <w:top w:val="nil"/>
                    <w:left w:val="nil"/>
                    <w:bottom w:val="single" w:sz="4" w:space="0" w:color="auto"/>
                    <w:right w:val="single" w:sz="4" w:space="0" w:color="auto"/>
                  </w:tcBorders>
                  <w:shd w:val="clear" w:color="auto" w:fill="auto"/>
                  <w:noWrap/>
                  <w:vAlign w:val="bottom"/>
                  <w:hideMark/>
                </w:tcPr>
                <w:p w14:paraId="55547348" w14:textId="77777777" w:rsidR="000D2423" w:rsidRPr="00D8773C" w:rsidRDefault="000D2423" w:rsidP="00D8773C">
                  <w:pPr>
                    <w:jc w:val="right"/>
                    <w:rPr>
                      <w:rFonts w:ascii="Calibri" w:hAnsi="Calibri" w:cs="Calibri"/>
                      <w:color w:val="000000"/>
                      <w:sz w:val="22"/>
                      <w:szCs w:val="22"/>
                      <w:lang w:eastAsia="en-GB"/>
                    </w:rPr>
                  </w:pPr>
                  <w:r w:rsidRPr="00D8773C">
                    <w:rPr>
                      <w:rFonts w:ascii="Calibri" w:hAnsi="Calibri" w:cs="Calibri"/>
                      <w:color w:val="000000"/>
                      <w:sz w:val="22"/>
                      <w:szCs w:val="22"/>
                      <w:lang w:eastAsia="en-GB"/>
                    </w:rPr>
                    <w:t>33.7</w:t>
                  </w:r>
                </w:p>
              </w:tc>
            </w:tr>
            <w:tr w:rsidR="000D2423" w:rsidRPr="00D8773C" w14:paraId="5B540A48"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1DE23FC3"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British/Black African</w:t>
                  </w:r>
                </w:p>
              </w:tc>
              <w:tc>
                <w:tcPr>
                  <w:tcW w:w="1421" w:type="dxa"/>
                  <w:tcBorders>
                    <w:top w:val="nil"/>
                    <w:left w:val="nil"/>
                    <w:bottom w:val="single" w:sz="4" w:space="0" w:color="auto"/>
                    <w:right w:val="single" w:sz="4" w:space="0" w:color="auto"/>
                  </w:tcBorders>
                  <w:shd w:val="clear" w:color="auto" w:fill="auto"/>
                  <w:noWrap/>
                  <w:vAlign w:val="bottom"/>
                  <w:hideMark/>
                </w:tcPr>
                <w:p w14:paraId="0BB4E81F"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12.16</w:t>
                  </w:r>
                </w:p>
              </w:tc>
              <w:tc>
                <w:tcPr>
                  <w:tcW w:w="1418" w:type="dxa"/>
                  <w:tcBorders>
                    <w:top w:val="nil"/>
                    <w:left w:val="nil"/>
                    <w:bottom w:val="single" w:sz="4" w:space="0" w:color="auto"/>
                    <w:right w:val="single" w:sz="4" w:space="0" w:color="auto"/>
                  </w:tcBorders>
                  <w:shd w:val="clear" w:color="auto" w:fill="auto"/>
                  <w:noWrap/>
                  <w:vAlign w:val="bottom"/>
                  <w:hideMark/>
                </w:tcPr>
                <w:p w14:paraId="36399D4B" w14:textId="77777777" w:rsidR="000D2423" w:rsidRPr="00D8773C" w:rsidRDefault="000D2423" w:rsidP="00D8773C">
                  <w:pPr>
                    <w:jc w:val="right"/>
                    <w:rPr>
                      <w:rFonts w:ascii="Calibri" w:hAnsi="Calibri" w:cs="Calibri"/>
                      <w:color w:val="000000"/>
                      <w:sz w:val="22"/>
                      <w:szCs w:val="22"/>
                      <w:lang w:eastAsia="en-GB"/>
                    </w:rPr>
                  </w:pPr>
                  <w:r w:rsidRPr="00D8773C">
                    <w:rPr>
                      <w:rFonts w:ascii="Calibri" w:hAnsi="Calibri" w:cs="Calibri"/>
                      <w:color w:val="000000"/>
                      <w:sz w:val="22"/>
                      <w:szCs w:val="22"/>
                      <w:lang w:eastAsia="en-GB"/>
                    </w:rPr>
                    <w:t>36.8</w:t>
                  </w:r>
                </w:p>
              </w:tc>
            </w:tr>
            <w:tr w:rsidR="000D2423" w:rsidRPr="00D8773C" w14:paraId="1DD68A49"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21B434C"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t>White British/Black Caribbean or any other Black</w:t>
                  </w:r>
                </w:p>
              </w:tc>
              <w:tc>
                <w:tcPr>
                  <w:tcW w:w="1421" w:type="dxa"/>
                  <w:tcBorders>
                    <w:top w:val="nil"/>
                    <w:left w:val="nil"/>
                    <w:bottom w:val="single" w:sz="4" w:space="0" w:color="auto"/>
                    <w:right w:val="single" w:sz="4" w:space="0" w:color="auto"/>
                  </w:tcBorders>
                  <w:shd w:val="clear" w:color="auto" w:fill="auto"/>
                  <w:noWrap/>
                  <w:vAlign w:val="bottom"/>
                  <w:hideMark/>
                </w:tcPr>
                <w:p w14:paraId="2AF19DF7"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13.20</w:t>
                  </w:r>
                </w:p>
              </w:tc>
              <w:tc>
                <w:tcPr>
                  <w:tcW w:w="1418" w:type="dxa"/>
                  <w:tcBorders>
                    <w:top w:val="nil"/>
                    <w:left w:val="nil"/>
                    <w:bottom w:val="single" w:sz="4" w:space="0" w:color="auto"/>
                    <w:right w:val="single" w:sz="4" w:space="0" w:color="auto"/>
                  </w:tcBorders>
                  <w:shd w:val="clear" w:color="auto" w:fill="auto"/>
                  <w:noWrap/>
                  <w:vAlign w:val="bottom"/>
                  <w:hideMark/>
                </w:tcPr>
                <w:p w14:paraId="1245E107" w14:textId="77777777" w:rsidR="000D2423" w:rsidRPr="00D8773C" w:rsidRDefault="000D2423" w:rsidP="00D8773C">
                  <w:pPr>
                    <w:jc w:val="right"/>
                    <w:rPr>
                      <w:rFonts w:ascii="Calibri" w:hAnsi="Calibri" w:cs="Calibri"/>
                      <w:color w:val="000000"/>
                      <w:sz w:val="22"/>
                      <w:szCs w:val="22"/>
                      <w:lang w:eastAsia="en-GB"/>
                    </w:rPr>
                  </w:pPr>
                  <w:r w:rsidRPr="00D8773C">
                    <w:rPr>
                      <w:rFonts w:ascii="Calibri" w:hAnsi="Calibri" w:cs="Calibri"/>
                      <w:color w:val="000000"/>
                      <w:sz w:val="22"/>
                      <w:szCs w:val="22"/>
                      <w:lang w:eastAsia="en-GB"/>
                    </w:rPr>
                    <w:t>31.4</w:t>
                  </w:r>
                </w:p>
              </w:tc>
            </w:tr>
            <w:tr w:rsidR="000D2423" w:rsidRPr="00D8773C" w14:paraId="79124B17" w14:textId="77777777" w:rsidTr="00F01733">
              <w:trPr>
                <w:trHeight w:val="300"/>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14:paraId="4A83C399" w14:textId="77777777" w:rsidR="000D2423" w:rsidRPr="00D8773C" w:rsidRDefault="000D2423" w:rsidP="00D8773C">
                  <w:pPr>
                    <w:rPr>
                      <w:rFonts w:ascii="Calibri" w:hAnsi="Calibri" w:cs="Calibri"/>
                      <w:color w:val="000000"/>
                      <w:sz w:val="22"/>
                      <w:szCs w:val="22"/>
                      <w:lang w:eastAsia="en-GB"/>
                    </w:rPr>
                  </w:pPr>
                  <w:r w:rsidRPr="00D8773C">
                    <w:rPr>
                      <w:rFonts w:ascii="Calibri" w:hAnsi="Calibri" w:cs="Calibri"/>
                      <w:color w:val="000000"/>
                      <w:sz w:val="22"/>
                      <w:szCs w:val="22"/>
                      <w:lang w:eastAsia="en-GB"/>
                    </w:rPr>
                    <w:lastRenderedPageBreak/>
                    <w:t>White British/Any other ethnic group</w:t>
                  </w:r>
                </w:p>
              </w:tc>
              <w:tc>
                <w:tcPr>
                  <w:tcW w:w="1421" w:type="dxa"/>
                  <w:tcBorders>
                    <w:top w:val="nil"/>
                    <w:left w:val="nil"/>
                    <w:bottom w:val="single" w:sz="4" w:space="0" w:color="auto"/>
                    <w:right w:val="single" w:sz="4" w:space="0" w:color="auto"/>
                  </w:tcBorders>
                  <w:shd w:val="clear" w:color="auto" w:fill="auto"/>
                  <w:noWrap/>
                  <w:vAlign w:val="bottom"/>
                  <w:hideMark/>
                </w:tcPr>
                <w:p w14:paraId="3BF39D73" w14:textId="77777777" w:rsidR="000D2423" w:rsidRPr="00D8773C" w:rsidRDefault="000D2423" w:rsidP="00D8773C">
                  <w:pPr>
                    <w:jc w:val="right"/>
                    <w:rPr>
                      <w:rFonts w:ascii="Arial" w:hAnsi="Arial" w:cs="Arial"/>
                      <w:sz w:val="20"/>
                      <w:szCs w:val="20"/>
                      <w:lang w:eastAsia="en-GB"/>
                    </w:rPr>
                  </w:pPr>
                  <w:r w:rsidRPr="00D8773C">
                    <w:rPr>
                      <w:rFonts w:ascii="Arial" w:hAnsi="Arial" w:cs="Arial"/>
                      <w:sz w:val="20"/>
                      <w:szCs w:val="20"/>
                      <w:lang w:eastAsia="en-GB"/>
                    </w:rPr>
                    <w:t>13.12</w:t>
                  </w:r>
                </w:p>
              </w:tc>
              <w:tc>
                <w:tcPr>
                  <w:tcW w:w="1418" w:type="dxa"/>
                  <w:tcBorders>
                    <w:top w:val="nil"/>
                    <w:left w:val="nil"/>
                    <w:bottom w:val="single" w:sz="4" w:space="0" w:color="auto"/>
                    <w:right w:val="single" w:sz="4" w:space="0" w:color="auto"/>
                  </w:tcBorders>
                  <w:shd w:val="clear" w:color="auto" w:fill="auto"/>
                  <w:vAlign w:val="bottom"/>
                  <w:hideMark/>
                </w:tcPr>
                <w:p w14:paraId="0BEC0897" w14:textId="77777777" w:rsidR="000D2423" w:rsidRPr="00D8773C" w:rsidRDefault="000D2423" w:rsidP="00D8773C">
                  <w:pPr>
                    <w:jc w:val="right"/>
                    <w:rPr>
                      <w:rFonts w:ascii="Calibri" w:hAnsi="Calibri" w:cs="Calibri"/>
                      <w:color w:val="000000"/>
                      <w:sz w:val="22"/>
                      <w:szCs w:val="22"/>
                      <w:lang w:eastAsia="en-GB"/>
                    </w:rPr>
                  </w:pPr>
                  <w:r w:rsidRPr="00D8773C">
                    <w:rPr>
                      <w:rFonts w:ascii="Calibri" w:hAnsi="Calibri" w:cs="Calibri"/>
                      <w:color w:val="000000"/>
                      <w:sz w:val="22"/>
                      <w:szCs w:val="22"/>
                      <w:lang w:eastAsia="en-GB"/>
                    </w:rPr>
                    <w:t>31.8</w:t>
                  </w:r>
                </w:p>
              </w:tc>
            </w:tr>
          </w:tbl>
          <w:p w14:paraId="0A5A91BE" w14:textId="77777777" w:rsidR="000D2423" w:rsidRDefault="000D2423" w:rsidP="00AD0BF6"/>
          <w:p w14:paraId="67C4C42B" w14:textId="77777777" w:rsidR="000D2423" w:rsidRDefault="000D2423" w:rsidP="00AD0BF6"/>
          <w:p w14:paraId="34DC0AA2" w14:textId="22A9D107" w:rsidR="0086017E" w:rsidRDefault="0086017E" w:rsidP="00AD0BF6"/>
        </w:tc>
      </w:tr>
      <w:tr w:rsidR="000D2423" w:rsidRPr="003E202F" w14:paraId="48404EF2" w14:textId="77777777" w:rsidTr="000D2423">
        <w:tc>
          <w:tcPr>
            <w:tcW w:w="626" w:type="pct"/>
            <w:vMerge w:val="restart"/>
            <w:vAlign w:val="center"/>
          </w:tcPr>
          <w:p w14:paraId="3475622E" w14:textId="3A2E3477" w:rsidR="000D2423" w:rsidRPr="003E202F" w:rsidRDefault="000D2423" w:rsidP="000D2423">
            <w:r>
              <w:lastRenderedPageBreak/>
              <w:t>2c</w:t>
            </w:r>
          </w:p>
        </w:tc>
        <w:tc>
          <w:tcPr>
            <w:tcW w:w="2516" w:type="pct"/>
          </w:tcPr>
          <w:p w14:paraId="164452DC" w14:textId="5A2125BB" w:rsidR="000D2423" w:rsidRPr="004C361A" w:rsidRDefault="000D2423" w:rsidP="00C4220E">
            <w:pPr>
              <w:rPr>
                <w:b/>
                <w:bCs/>
              </w:rPr>
            </w:pPr>
            <w:r w:rsidRPr="004C361A">
              <w:rPr>
                <w:b/>
                <w:bCs/>
              </w:rPr>
              <w:t xml:space="preserve">Disability </w:t>
            </w:r>
            <w:proofErr w:type="gramStart"/>
            <w:r>
              <w:rPr>
                <w:b/>
                <w:bCs/>
              </w:rPr>
              <w:t>pay</w:t>
            </w:r>
            <w:proofErr w:type="gramEnd"/>
            <w:r w:rsidRPr="004C361A">
              <w:rPr>
                <w:b/>
                <w:bCs/>
              </w:rPr>
              <w:t xml:space="preserve"> gap</w:t>
            </w:r>
            <w:r w:rsidR="00D03C2A">
              <w:rPr>
                <w:b/>
                <w:bCs/>
              </w:rPr>
              <w:t xml:space="preserve"> (workplace</w:t>
            </w:r>
            <w:r w:rsidR="00EE5886">
              <w:rPr>
                <w:b/>
                <w:bCs/>
              </w:rPr>
              <w:t>-</w:t>
            </w:r>
            <w:r w:rsidR="00D03C2A">
              <w:rPr>
                <w:b/>
                <w:bCs/>
              </w:rPr>
              <w:t>based)</w:t>
            </w:r>
          </w:p>
          <w:p w14:paraId="562B74B9" w14:textId="714FF932" w:rsidR="000D2423" w:rsidRPr="000471F1" w:rsidRDefault="000D2423" w:rsidP="00C4220E"/>
        </w:tc>
        <w:tc>
          <w:tcPr>
            <w:tcW w:w="1858" w:type="pct"/>
          </w:tcPr>
          <w:p w14:paraId="5C29BCE4" w14:textId="49F29544" w:rsidR="000D2423" w:rsidRPr="000471F1" w:rsidRDefault="00F77F5C" w:rsidP="00C4220E">
            <w:hyperlink r:id="rId17" w:history="1">
              <w:r w:rsidR="000D2423" w:rsidRPr="006B348A">
                <w:rPr>
                  <w:rStyle w:val="Hyperlink"/>
                </w:rPr>
                <w:t>Annual Population Survey (APS)</w:t>
              </w:r>
            </w:hyperlink>
          </w:p>
        </w:tc>
      </w:tr>
      <w:tr w:rsidR="000D2423" w:rsidRPr="003E202F" w14:paraId="5EF9B62D" w14:textId="77777777" w:rsidTr="00F12744">
        <w:tc>
          <w:tcPr>
            <w:tcW w:w="626" w:type="pct"/>
            <w:vMerge/>
          </w:tcPr>
          <w:p w14:paraId="07576D6C" w14:textId="77777777" w:rsidR="000D2423" w:rsidRPr="003E202F" w:rsidRDefault="000D2423" w:rsidP="00AD0BF6"/>
        </w:tc>
        <w:tc>
          <w:tcPr>
            <w:tcW w:w="4374" w:type="pct"/>
            <w:gridSpan w:val="2"/>
          </w:tcPr>
          <w:p w14:paraId="6C9DCF5A" w14:textId="77777777" w:rsidR="000D2423" w:rsidRDefault="000D2423" w:rsidP="00AD0BF6"/>
          <w:tbl>
            <w:tblPr>
              <w:tblW w:w="6263" w:type="dxa"/>
              <w:tblLayout w:type="fixed"/>
              <w:tblLook w:val="04A0" w:firstRow="1" w:lastRow="0" w:firstColumn="1" w:lastColumn="0" w:noHBand="0" w:noVBand="1"/>
            </w:tblPr>
            <w:tblGrid>
              <w:gridCol w:w="1869"/>
              <w:gridCol w:w="1559"/>
              <w:gridCol w:w="1701"/>
              <w:gridCol w:w="1134"/>
            </w:tblGrid>
            <w:tr w:rsidR="000D2423" w:rsidRPr="00176CB9" w14:paraId="238620C5" w14:textId="77777777" w:rsidTr="00C4220E">
              <w:trPr>
                <w:trHeight w:val="30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87792" w14:textId="77777777" w:rsidR="000D2423" w:rsidRPr="00176CB9" w:rsidRDefault="000D2423" w:rsidP="00F01733">
                  <w:pPr>
                    <w:rPr>
                      <w:rFonts w:ascii="Calibri" w:hAnsi="Calibri" w:cs="Calibri"/>
                      <w:color w:val="000000"/>
                      <w:sz w:val="22"/>
                      <w:szCs w:val="22"/>
                      <w:lang w:eastAsia="en-GB"/>
                    </w:rPr>
                  </w:pPr>
                  <w:r w:rsidRPr="00176CB9">
                    <w:rPr>
                      <w:rFonts w:ascii="Calibri" w:hAnsi="Calibri" w:cs="Calibri"/>
                      <w:color w:val="000000"/>
                      <w:sz w:val="22"/>
                      <w:szCs w:val="22"/>
                      <w:lang w:eastAsia="en-GB"/>
                    </w:rPr>
                    <w:t> </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E00E00" w14:textId="77777777" w:rsidR="000D2423" w:rsidRPr="00176CB9" w:rsidRDefault="000D2423" w:rsidP="00F01733">
                  <w:pPr>
                    <w:jc w:val="center"/>
                    <w:rPr>
                      <w:rFonts w:ascii="Calibri" w:hAnsi="Calibri" w:cs="Calibri"/>
                      <w:b/>
                      <w:bCs/>
                      <w:color w:val="000000"/>
                      <w:sz w:val="22"/>
                      <w:szCs w:val="22"/>
                      <w:lang w:eastAsia="en-GB"/>
                    </w:rPr>
                  </w:pPr>
                  <w:r w:rsidRPr="00176CB9">
                    <w:rPr>
                      <w:rFonts w:ascii="Calibri" w:hAnsi="Calibri" w:cs="Calibri"/>
                      <w:b/>
                      <w:bCs/>
                      <w:color w:val="000000"/>
                      <w:sz w:val="22"/>
                      <w:szCs w:val="22"/>
                      <w:lang w:eastAsia="en-GB"/>
                    </w:rPr>
                    <w:t>London</w:t>
                  </w:r>
                </w:p>
              </w:tc>
            </w:tr>
            <w:tr w:rsidR="000D2423" w:rsidRPr="00176CB9" w14:paraId="410460BC" w14:textId="77777777" w:rsidTr="00C4220E">
              <w:trPr>
                <w:trHeight w:val="382"/>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6BA3E853" w14:textId="77777777" w:rsidR="000D2423" w:rsidRPr="00176CB9" w:rsidRDefault="000D2423" w:rsidP="00F01733">
                  <w:pPr>
                    <w:rPr>
                      <w:rFonts w:ascii="Arial" w:hAnsi="Arial" w:cs="Arial"/>
                      <w:b/>
                      <w:bCs/>
                      <w:color w:val="000000"/>
                      <w:sz w:val="20"/>
                      <w:szCs w:val="20"/>
                      <w:lang w:eastAsia="en-GB"/>
                    </w:rPr>
                  </w:pPr>
                  <w:r w:rsidRPr="00176CB9">
                    <w:rPr>
                      <w:rFonts w:ascii="Arial" w:hAnsi="Arial" w:cs="Arial"/>
                      <w:b/>
                      <w:bCs/>
                      <w:color w:val="000000"/>
                      <w:sz w:val="20"/>
                      <w:szCs w:val="20"/>
                      <w:lang w:eastAsia="en-GB"/>
                    </w:rPr>
                    <w:t>Year</w:t>
                  </w:r>
                </w:p>
              </w:tc>
              <w:tc>
                <w:tcPr>
                  <w:tcW w:w="1559" w:type="dxa"/>
                  <w:tcBorders>
                    <w:top w:val="nil"/>
                    <w:left w:val="nil"/>
                    <w:bottom w:val="single" w:sz="4" w:space="0" w:color="auto"/>
                    <w:right w:val="single" w:sz="4" w:space="0" w:color="auto"/>
                  </w:tcBorders>
                  <w:shd w:val="clear" w:color="auto" w:fill="auto"/>
                  <w:vAlign w:val="center"/>
                  <w:hideMark/>
                </w:tcPr>
                <w:p w14:paraId="0A14B24A" w14:textId="783ACF21" w:rsidR="000D2423" w:rsidRPr="00176CB9" w:rsidRDefault="000D2423" w:rsidP="00F01733">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Disabled</w:t>
                  </w:r>
                  <w:r w:rsidRPr="00176CB9">
                    <w:rPr>
                      <w:rFonts w:ascii="Calibri" w:hAnsi="Calibri" w:cs="Calibri"/>
                      <w:b/>
                      <w:bCs/>
                      <w:color w:val="000000"/>
                      <w:sz w:val="22"/>
                      <w:szCs w:val="22"/>
                      <w:lang w:eastAsia="en-GB"/>
                    </w:rPr>
                    <w:t xml:space="preserve"> </w:t>
                  </w:r>
                  <w:r>
                    <w:rPr>
                      <w:rFonts w:ascii="Calibri" w:hAnsi="Calibri" w:cs="Calibri"/>
                      <w:b/>
                      <w:bCs/>
                      <w:color w:val="000000"/>
                      <w:sz w:val="22"/>
                      <w:szCs w:val="22"/>
                      <w:lang w:eastAsia="en-GB"/>
                    </w:rPr>
                    <w:t xml:space="preserve">Median </w:t>
                  </w:r>
                  <w:r w:rsidRPr="00176CB9">
                    <w:rPr>
                      <w:rFonts w:ascii="Calibri" w:hAnsi="Calibri" w:cs="Calibri"/>
                      <w:b/>
                      <w:bCs/>
                      <w:color w:val="000000"/>
                      <w:sz w:val="22"/>
                      <w:szCs w:val="22"/>
                      <w:lang w:eastAsia="en-GB"/>
                    </w:rPr>
                    <w:t>Hourly Pay (£)</w:t>
                  </w:r>
                </w:p>
              </w:tc>
              <w:tc>
                <w:tcPr>
                  <w:tcW w:w="1701" w:type="dxa"/>
                  <w:tcBorders>
                    <w:top w:val="nil"/>
                    <w:left w:val="nil"/>
                    <w:bottom w:val="single" w:sz="4" w:space="0" w:color="auto"/>
                    <w:right w:val="single" w:sz="4" w:space="0" w:color="auto"/>
                  </w:tcBorders>
                  <w:shd w:val="clear" w:color="auto" w:fill="auto"/>
                  <w:vAlign w:val="center"/>
                  <w:hideMark/>
                </w:tcPr>
                <w:p w14:paraId="5708775B" w14:textId="3B916328" w:rsidR="000D2423" w:rsidRPr="00176CB9" w:rsidRDefault="000D2423" w:rsidP="00F01733">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 xml:space="preserve">Not disabled Median </w:t>
                  </w:r>
                  <w:r w:rsidRPr="00176CB9">
                    <w:rPr>
                      <w:rFonts w:ascii="Calibri" w:hAnsi="Calibri" w:cs="Calibri"/>
                      <w:b/>
                      <w:bCs/>
                      <w:color w:val="000000"/>
                      <w:sz w:val="22"/>
                      <w:szCs w:val="22"/>
                      <w:lang w:eastAsia="en-GB"/>
                    </w:rPr>
                    <w:t>Hourly Pay (£)</w:t>
                  </w:r>
                </w:p>
              </w:tc>
              <w:tc>
                <w:tcPr>
                  <w:tcW w:w="1134" w:type="dxa"/>
                  <w:tcBorders>
                    <w:top w:val="nil"/>
                    <w:left w:val="nil"/>
                    <w:bottom w:val="single" w:sz="4" w:space="0" w:color="auto"/>
                    <w:right w:val="single" w:sz="4" w:space="0" w:color="auto"/>
                  </w:tcBorders>
                  <w:shd w:val="clear" w:color="auto" w:fill="auto"/>
                  <w:vAlign w:val="center"/>
                  <w:hideMark/>
                </w:tcPr>
                <w:p w14:paraId="7AD7B9EB" w14:textId="77777777" w:rsidR="000D2423" w:rsidRPr="00176CB9" w:rsidRDefault="000D2423" w:rsidP="00F01733">
                  <w:pPr>
                    <w:jc w:val="center"/>
                    <w:rPr>
                      <w:rFonts w:ascii="Calibri" w:hAnsi="Calibri" w:cs="Calibri"/>
                      <w:b/>
                      <w:bCs/>
                      <w:color w:val="000000"/>
                      <w:sz w:val="22"/>
                      <w:szCs w:val="22"/>
                      <w:lang w:eastAsia="en-GB"/>
                    </w:rPr>
                  </w:pPr>
                  <w:r w:rsidRPr="00176CB9">
                    <w:rPr>
                      <w:rFonts w:ascii="Calibri" w:hAnsi="Calibri" w:cs="Calibri"/>
                      <w:b/>
                      <w:bCs/>
                      <w:color w:val="000000"/>
                      <w:sz w:val="22"/>
                      <w:szCs w:val="22"/>
                      <w:lang w:eastAsia="en-GB"/>
                    </w:rPr>
                    <w:t>Pay Gap (%)</w:t>
                  </w:r>
                </w:p>
              </w:tc>
            </w:tr>
            <w:tr w:rsidR="000D2423" w:rsidRPr="00176CB9" w14:paraId="44A0D91E" w14:textId="77777777" w:rsidTr="00C4220E">
              <w:trPr>
                <w:trHeight w:val="300"/>
              </w:trPr>
              <w:tc>
                <w:tcPr>
                  <w:tcW w:w="1869" w:type="dxa"/>
                  <w:tcBorders>
                    <w:top w:val="nil"/>
                    <w:left w:val="single" w:sz="4" w:space="0" w:color="auto"/>
                    <w:bottom w:val="single" w:sz="4" w:space="0" w:color="auto"/>
                    <w:right w:val="single" w:sz="4" w:space="0" w:color="auto"/>
                  </w:tcBorders>
                  <w:shd w:val="clear" w:color="auto" w:fill="auto"/>
                  <w:noWrap/>
                  <w:vAlign w:val="center"/>
                  <w:hideMark/>
                </w:tcPr>
                <w:p w14:paraId="5FFFE995" w14:textId="206A960B" w:rsidR="000D2423" w:rsidRPr="00176CB9" w:rsidRDefault="000D2423" w:rsidP="00F01733">
                  <w:pPr>
                    <w:rPr>
                      <w:rFonts w:ascii="Arial" w:hAnsi="Arial" w:cs="Arial"/>
                      <w:color w:val="000000"/>
                      <w:sz w:val="20"/>
                      <w:szCs w:val="20"/>
                      <w:lang w:eastAsia="en-GB"/>
                    </w:rPr>
                  </w:pPr>
                  <w:r w:rsidRPr="00176CB9">
                    <w:rPr>
                      <w:rFonts w:ascii="Arial" w:hAnsi="Arial" w:cs="Arial"/>
                      <w:color w:val="000000"/>
                      <w:sz w:val="20"/>
                      <w:szCs w:val="20"/>
                      <w:lang w:eastAsia="en-GB"/>
                    </w:rPr>
                    <w:t>20</w:t>
                  </w:r>
                  <w:r>
                    <w:rPr>
                      <w:rFonts w:ascii="Arial" w:hAnsi="Arial" w:cs="Arial"/>
                      <w:color w:val="000000"/>
                      <w:sz w:val="20"/>
                      <w:szCs w:val="20"/>
                      <w:lang w:eastAsia="en-GB"/>
                    </w:rPr>
                    <w:t>19</w:t>
                  </w:r>
                </w:p>
              </w:tc>
              <w:tc>
                <w:tcPr>
                  <w:tcW w:w="1559" w:type="dxa"/>
                  <w:tcBorders>
                    <w:top w:val="nil"/>
                    <w:left w:val="nil"/>
                    <w:bottom w:val="single" w:sz="4" w:space="0" w:color="auto"/>
                    <w:right w:val="single" w:sz="4" w:space="0" w:color="auto"/>
                  </w:tcBorders>
                  <w:shd w:val="clear" w:color="auto" w:fill="auto"/>
                  <w:noWrap/>
                  <w:hideMark/>
                </w:tcPr>
                <w:p w14:paraId="77B0D86F" w14:textId="310C11DB" w:rsidR="000D2423" w:rsidRPr="00176CB9" w:rsidRDefault="000D2423" w:rsidP="00F01733">
                  <w:pPr>
                    <w:jc w:val="right"/>
                    <w:rPr>
                      <w:rFonts w:ascii="Calibri" w:hAnsi="Calibri" w:cs="Calibri"/>
                      <w:color w:val="000000"/>
                      <w:sz w:val="22"/>
                      <w:szCs w:val="22"/>
                      <w:lang w:eastAsia="en-GB"/>
                    </w:rPr>
                  </w:pPr>
                  <w:r w:rsidRPr="00F01733">
                    <w:rPr>
                      <w:rFonts w:ascii="Calibri" w:hAnsi="Calibri" w:cs="Calibri"/>
                      <w:color w:val="000000"/>
                      <w:sz w:val="22"/>
                      <w:szCs w:val="22"/>
                      <w:lang w:eastAsia="en-GB"/>
                    </w:rPr>
                    <w:t>14.43</w:t>
                  </w:r>
                </w:p>
              </w:tc>
              <w:tc>
                <w:tcPr>
                  <w:tcW w:w="1701" w:type="dxa"/>
                  <w:tcBorders>
                    <w:top w:val="nil"/>
                    <w:left w:val="nil"/>
                    <w:bottom w:val="single" w:sz="4" w:space="0" w:color="auto"/>
                    <w:right w:val="single" w:sz="4" w:space="0" w:color="auto"/>
                  </w:tcBorders>
                  <w:shd w:val="clear" w:color="auto" w:fill="auto"/>
                  <w:noWrap/>
                  <w:hideMark/>
                </w:tcPr>
                <w:p w14:paraId="566C1C53" w14:textId="7B26DA39" w:rsidR="000D2423" w:rsidRPr="00176CB9" w:rsidRDefault="000D2423" w:rsidP="00F01733">
                  <w:pPr>
                    <w:jc w:val="right"/>
                    <w:rPr>
                      <w:rFonts w:ascii="Calibri" w:hAnsi="Calibri" w:cs="Calibri"/>
                      <w:color w:val="000000"/>
                      <w:sz w:val="22"/>
                      <w:szCs w:val="22"/>
                      <w:lang w:eastAsia="en-GB"/>
                    </w:rPr>
                  </w:pPr>
                  <w:r w:rsidRPr="00F01733">
                    <w:rPr>
                      <w:rFonts w:ascii="Calibri" w:hAnsi="Calibri" w:cs="Calibri"/>
                      <w:color w:val="000000"/>
                      <w:sz w:val="22"/>
                      <w:szCs w:val="22"/>
                      <w:lang w:eastAsia="en-GB"/>
                    </w:rPr>
                    <w:t>17.30</w:t>
                  </w:r>
                </w:p>
              </w:tc>
              <w:tc>
                <w:tcPr>
                  <w:tcW w:w="1134" w:type="dxa"/>
                  <w:tcBorders>
                    <w:top w:val="nil"/>
                    <w:left w:val="nil"/>
                    <w:bottom w:val="single" w:sz="4" w:space="0" w:color="auto"/>
                    <w:right w:val="single" w:sz="4" w:space="0" w:color="auto"/>
                  </w:tcBorders>
                  <w:shd w:val="clear" w:color="auto" w:fill="auto"/>
                  <w:noWrap/>
                  <w:vAlign w:val="bottom"/>
                  <w:hideMark/>
                </w:tcPr>
                <w:p w14:paraId="0C877BB0" w14:textId="7511C8FD" w:rsidR="000D2423" w:rsidRPr="00176CB9" w:rsidRDefault="000D2423" w:rsidP="00F01733">
                  <w:pPr>
                    <w:jc w:val="right"/>
                    <w:rPr>
                      <w:rFonts w:ascii="Calibri" w:hAnsi="Calibri" w:cs="Calibri"/>
                      <w:color w:val="000000"/>
                      <w:sz w:val="22"/>
                      <w:szCs w:val="22"/>
                      <w:lang w:eastAsia="en-GB"/>
                    </w:rPr>
                  </w:pPr>
                  <w:r w:rsidRPr="00F01733">
                    <w:rPr>
                      <w:rFonts w:ascii="Calibri" w:hAnsi="Calibri" w:cs="Calibri"/>
                      <w:color w:val="000000"/>
                      <w:sz w:val="22"/>
                      <w:szCs w:val="22"/>
                      <w:lang w:eastAsia="en-GB"/>
                    </w:rPr>
                    <w:t>16.6</w:t>
                  </w:r>
                </w:p>
              </w:tc>
            </w:tr>
          </w:tbl>
          <w:p w14:paraId="400D72CB" w14:textId="7D289F7C" w:rsidR="000D2423" w:rsidRDefault="000D2423" w:rsidP="00AD0BF6"/>
        </w:tc>
      </w:tr>
    </w:tbl>
    <w:p w14:paraId="590D87FD" w14:textId="77777777" w:rsidR="00906147" w:rsidRDefault="00906147" w:rsidP="00906147">
      <w:pPr>
        <w:rPr>
          <w:b/>
          <w:bCs/>
        </w:rPr>
      </w:pPr>
    </w:p>
    <w:p w14:paraId="2A4DE2CC" w14:textId="066E85BE" w:rsidR="00906147" w:rsidRPr="00906147" w:rsidRDefault="00906147" w:rsidP="00906147">
      <w:pPr>
        <w:rPr>
          <w:b/>
          <w:bCs/>
        </w:rPr>
      </w:pPr>
      <w:r w:rsidRPr="00906147">
        <w:rPr>
          <w:b/>
          <w:bCs/>
        </w:rPr>
        <w:t xml:space="preserve">Commentary – </w:t>
      </w:r>
      <w:r>
        <w:rPr>
          <w:b/>
          <w:bCs/>
        </w:rPr>
        <w:t>pay</w:t>
      </w:r>
      <w:r w:rsidRPr="00906147">
        <w:rPr>
          <w:b/>
          <w:bCs/>
        </w:rPr>
        <w:t xml:space="preserve"> gaps</w:t>
      </w:r>
    </w:p>
    <w:p w14:paraId="40D6AD14" w14:textId="1011C133" w:rsidR="00906147" w:rsidRDefault="001F4710" w:rsidP="00906147">
      <w:pPr>
        <w:pStyle w:val="ListParagraph"/>
        <w:numPr>
          <w:ilvl w:val="0"/>
          <w:numId w:val="7"/>
        </w:numPr>
      </w:pPr>
      <w:r w:rsidRPr="001F4710">
        <w:t xml:space="preserve">The gender pay gap in hourly pay across London has decreased </w:t>
      </w:r>
      <w:r>
        <w:t>since 2020</w:t>
      </w:r>
      <w:r w:rsidRPr="001F4710">
        <w:t>,</w:t>
      </w:r>
      <w:r>
        <w:t xml:space="preserve"> In 2022, it was 13%.</w:t>
      </w:r>
    </w:p>
    <w:p w14:paraId="142D7678" w14:textId="7595791A" w:rsidR="001F4710" w:rsidRDefault="001F4710" w:rsidP="00906147">
      <w:pPr>
        <w:pStyle w:val="ListParagraph"/>
        <w:numPr>
          <w:ilvl w:val="0"/>
          <w:numId w:val="7"/>
        </w:numPr>
      </w:pPr>
      <w:r w:rsidRPr="001F4710">
        <w:t>The pay gaps between the median pay for individual groups and the median pay for White British Londoners vary over time as samples change, but the Black African</w:t>
      </w:r>
      <w:r>
        <w:t>, Pakistani</w:t>
      </w:r>
      <w:r w:rsidRPr="001F4710">
        <w:t xml:space="preserve"> and Bangladeshi Londoners are consistently among the lowest paid. The overall White/</w:t>
      </w:r>
      <w:r>
        <w:t>Other than White</w:t>
      </w:r>
      <w:r w:rsidRPr="001F4710">
        <w:t xml:space="preserve"> pay gap </w:t>
      </w:r>
      <w:r>
        <w:t>stood at 28.2%</w:t>
      </w:r>
      <w:r w:rsidRPr="001F4710">
        <w:t xml:space="preserve"> in London </w:t>
      </w:r>
      <w:r>
        <w:t>in 2019</w:t>
      </w:r>
      <w:r w:rsidRPr="001F4710">
        <w:t>.</w:t>
      </w:r>
    </w:p>
    <w:p w14:paraId="0253CE37" w14:textId="3103EB58" w:rsidR="001F4710" w:rsidRDefault="001F4710" w:rsidP="00906147">
      <w:pPr>
        <w:pStyle w:val="ListParagraph"/>
        <w:numPr>
          <w:ilvl w:val="0"/>
          <w:numId w:val="7"/>
        </w:numPr>
      </w:pPr>
      <w:r w:rsidRPr="001F4710">
        <w:t xml:space="preserve">Disabled people that find work are paid less on average than their non-disabled colleagues, with a difference in the median pay of </w:t>
      </w:r>
      <w:r>
        <w:t>16.6%</w:t>
      </w:r>
      <w:r w:rsidRPr="001F4710">
        <w:t xml:space="preserve"> in London</w:t>
      </w:r>
      <w:r>
        <w:t xml:space="preserve"> in 2019</w:t>
      </w:r>
      <w:r w:rsidRPr="001F4710">
        <w:t>.</w:t>
      </w:r>
    </w:p>
    <w:p w14:paraId="7E684C8E" w14:textId="3919114E" w:rsidR="001F4710" w:rsidRDefault="001F4710" w:rsidP="00906147">
      <w:pPr>
        <w:pStyle w:val="ListParagraph"/>
        <w:numPr>
          <w:ilvl w:val="0"/>
          <w:numId w:val="7"/>
        </w:numPr>
      </w:pPr>
      <w:r>
        <w:t>The latest data for ethnicity and disability pay gaps comes from 2019, as the survey this data is taken from was severely affected by the Covid-19 pandemic in 2020. Therefore, any estimates taken from that survey since then are subject to greater uncertainty.</w:t>
      </w:r>
    </w:p>
    <w:p w14:paraId="06BAB5C8" w14:textId="1DB3B6B0" w:rsidR="00906147" w:rsidRDefault="00906147" w:rsidP="00906147"/>
    <w:p w14:paraId="2DD12732" w14:textId="55AB9CEA" w:rsidR="00F66B44" w:rsidRDefault="00F66B44" w:rsidP="00DB054F">
      <w:pPr>
        <w:jc w:val="center"/>
        <w:rPr>
          <w:b/>
          <w:bCs/>
          <w:sz w:val="32"/>
          <w:szCs w:val="32"/>
        </w:rPr>
      </w:pPr>
    </w:p>
    <w:p w14:paraId="33AF9D4B" w14:textId="73320961" w:rsidR="00906147" w:rsidRDefault="00906147" w:rsidP="00DB054F">
      <w:pPr>
        <w:jc w:val="center"/>
        <w:rPr>
          <w:b/>
          <w:bCs/>
          <w:sz w:val="32"/>
          <w:szCs w:val="32"/>
        </w:rPr>
      </w:pPr>
    </w:p>
    <w:p w14:paraId="619EC4D9" w14:textId="22F2A75A" w:rsidR="00906147" w:rsidRDefault="00906147" w:rsidP="00DB054F">
      <w:pPr>
        <w:jc w:val="center"/>
        <w:rPr>
          <w:b/>
          <w:bCs/>
          <w:sz w:val="32"/>
          <w:szCs w:val="32"/>
        </w:rPr>
      </w:pPr>
    </w:p>
    <w:p w14:paraId="520AFE76" w14:textId="0AD0DBBF" w:rsidR="00906147" w:rsidRDefault="00906147" w:rsidP="00DB054F">
      <w:pPr>
        <w:jc w:val="center"/>
        <w:rPr>
          <w:b/>
          <w:bCs/>
          <w:sz w:val="32"/>
          <w:szCs w:val="32"/>
        </w:rPr>
      </w:pPr>
    </w:p>
    <w:p w14:paraId="098AF0ED" w14:textId="77777777" w:rsidR="00906147" w:rsidRDefault="00906147" w:rsidP="00DB054F">
      <w:pPr>
        <w:jc w:val="center"/>
        <w:rPr>
          <w:b/>
          <w:bCs/>
          <w:sz w:val="32"/>
          <w:szCs w:val="32"/>
        </w:rPr>
      </w:pPr>
    </w:p>
    <w:p w14:paraId="6EE8D88C" w14:textId="77777777" w:rsidR="00F66B44" w:rsidRDefault="00F66B44">
      <w:pPr>
        <w:rPr>
          <w:b/>
          <w:bCs/>
          <w:sz w:val="32"/>
          <w:szCs w:val="32"/>
        </w:rPr>
      </w:pPr>
      <w:r>
        <w:rPr>
          <w:b/>
          <w:bCs/>
          <w:sz w:val="32"/>
          <w:szCs w:val="32"/>
        </w:rPr>
        <w:br w:type="page"/>
      </w:r>
    </w:p>
    <w:p w14:paraId="5C9B765E" w14:textId="4BD96AF3" w:rsidR="00714E4E" w:rsidRPr="00DB054F" w:rsidRDefault="00714E4E" w:rsidP="00DB054F">
      <w:pPr>
        <w:jc w:val="center"/>
        <w:rPr>
          <w:b/>
          <w:bCs/>
          <w:sz w:val="32"/>
          <w:szCs w:val="32"/>
        </w:rPr>
      </w:pPr>
      <w:r w:rsidRPr="00DB054F">
        <w:rPr>
          <w:b/>
          <w:bCs/>
          <w:sz w:val="32"/>
          <w:szCs w:val="32"/>
        </w:rPr>
        <w:lastRenderedPageBreak/>
        <w:t>Financial Hardship and Living Standards</w:t>
      </w:r>
    </w:p>
    <w:p w14:paraId="7D99E6ED" w14:textId="77777777" w:rsidR="00714E4E" w:rsidRDefault="00714E4E"/>
    <w:tbl>
      <w:tblPr>
        <w:tblStyle w:val="TableGrid"/>
        <w:tblW w:w="5000" w:type="pct"/>
        <w:tblLook w:val="04A0" w:firstRow="1" w:lastRow="0" w:firstColumn="1" w:lastColumn="0" w:noHBand="0" w:noVBand="1"/>
      </w:tblPr>
      <w:tblGrid>
        <w:gridCol w:w="1129"/>
        <w:gridCol w:w="4537"/>
        <w:gridCol w:w="3350"/>
      </w:tblGrid>
      <w:tr w:rsidR="00192936" w:rsidRPr="003E202F" w14:paraId="77FE077C" w14:textId="77777777" w:rsidTr="00ED75CA">
        <w:tc>
          <w:tcPr>
            <w:tcW w:w="626" w:type="pct"/>
            <w:shd w:val="clear" w:color="auto" w:fill="00AEEF"/>
          </w:tcPr>
          <w:p w14:paraId="3DD1EAA0" w14:textId="2E8E266B" w:rsidR="00192936" w:rsidRPr="00DB054F" w:rsidRDefault="00192936" w:rsidP="00192936">
            <w:pPr>
              <w:rPr>
                <w:b/>
                <w:bCs/>
                <w:color w:val="FFFFFF" w:themeColor="background1"/>
              </w:rPr>
            </w:pPr>
            <w:r>
              <w:rPr>
                <w:b/>
                <w:bCs/>
                <w:color w:val="FFFFFF" w:themeColor="background1"/>
              </w:rPr>
              <w:t>Measure number</w:t>
            </w:r>
          </w:p>
        </w:tc>
        <w:tc>
          <w:tcPr>
            <w:tcW w:w="2516" w:type="pct"/>
            <w:shd w:val="clear" w:color="auto" w:fill="00AEEF"/>
          </w:tcPr>
          <w:p w14:paraId="3922D24B" w14:textId="70A2149A" w:rsidR="00192936" w:rsidRPr="00DB054F" w:rsidRDefault="00192936" w:rsidP="00192936">
            <w:pPr>
              <w:rPr>
                <w:b/>
                <w:bCs/>
                <w:color w:val="FFFFFF" w:themeColor="background1"/>
              </w:rPr>
            </w:pPr>
            <w:r>
              <w:rPr>
                <w:b/>
                <w:bCs/>
                <w:color w:val="FFFFFF" w:themeColor="background1"/>
              </w:rPr>
              <w:t>Measure description</w:t>
            </w:r>
          </w:p>
        </w:tc>
        <w:tc>
          <w:tcPr>
            <w:tcW w:w="1858" w:type="pct"/>
            <w:shd w:val="clear" w:color="auto" w:fill="00AEEF"/>
          </w:tcPr>
          <w:p w14:paraId="44F4A22A" w14:textId="4026DF0A" w:rsidR="00192936" w:rsidRPr="00DB054F" w:rsidRDefault="00192936" w:rsidP="00192936">
            <w:pPr>
              <w:rPr>
                <w:b/>
                <w:bCs/>
                <w:color w:val="FFFFFF" w:themeColor="background1"/>
              </w:rPr>
            </w:pPr>
            <w:r>
              <w:rPr>
                <w:b/>
                <w:bCs/>
                <w:color w:val="FFFFFF" w:themeColor="background1"/>
              </w:rPr>
              <w:t>Source</w:t>
            </w:r>
          </w:p>
        </w:tc>
      </w:tr>
      <w:tr w:rsidR="00192936" w:rsidRPr="003E202F" w14:paraId="227F4523" w14:textId="77777777" w:rsidTr="00ED75CA">
        <w:tc>
          <w:tcPr>
            <w:tcW w:w="626" w:type="pct"/>
            <w:vMerge w:val="restart"/>
            <w:vAlign w:val="center"/>
          </w:tcPr>
          <w:p w14:paraId="1F5C1D63" w14:textId="04D866EE" w:rsidR="00192936" w:rsidRPr="003E202F" w:rsidRDefault="00192936" w:rsidP="00192936">
            <w:r>
              <w:t>3</w:t>
            </w:r>
          </w:p>
        </w:tc>
        <w:tc>
          <w:tcPr>
            <w:tcW w:w="2516" w:type="pct"/>
          </w:tcPr>
          <w:p w14:paraId="7DDBFFB8" w14:textId="77777777" w:rsidR="00192936" w:rsidRDefault="00F45CA7" w:rsidP="00192936">
            <w:pPr>
              <w:rPr>
                <w:b/>
                <w:bCs/>
              </w:rPr>
            </w:pPr>
            <w:r w:rsidRPr="00F45CA7">
              <w:rPr>
                <w:b/>
                <w:bCs/>
              </w:rPr>
              <w:t>Proportion of Londoners experiencing financial hardship</w:t>
            </w:r>
            <w:r>
              <w:rPr>
                <w:b/>
                <w:bCs/>
              </w:rPr>
              <w:t>:</w:t>
            </w:r>
          </w:p>
          <w:p w14:paraId="512448B6" w14:textId="79159435" w:rsidR="00F45CA7" w:rsidRPr="00F45CA7" w:rsidRDefault="00F45CA7" w:rsidP="00192936">
            <w:r w:rsidRPr="00F45CA7">
              <w:t>Proportion of Londoners who are ‘financially struggling’</w:t>
            </w:r>
            <w:r>
              <w:t xml:space="preserve"> (</w:t>
            </w:r>
            <w:r w:rsidRPr="00F45CA7">
              <w:t xml:space="preserve">“I am having to go without my basic needs and/or rely on debt to pay for my basic needs” </w:t>
            </w:r>
            <w:r>
              <w:t>or</w:t>
            </w:r>
            <w:r w:rsidRPr="00F45CA7">
              <w:t xml:space="preserve"> “I'm struggling to make ends meet”</w:t>
            </w:r>
            <w:r>
              <w:t>)</w:t>
            </w:r>
          </w:p>
        </w:tc>
        <w:tc>
          <w:tcPr>
            <w:tcW w:w="1858" w:type="pct"/>
          </w:tcPr>
          <w:p w14:paraId="78063DD6" w14:textId="1E2E3C07" w:rsidR="00192936" w:rsidRPr="000471F1" w:rsidRDefault="00F77F5C" w:rsidP="00192936">
            <w:hyperlink r:id="rId18" w:history="1">
              <w:r w:rsidR="00F45CA7" w:rsidRPr="006B348A">
                <w:rPr>
                  <w:rStyle w:val="Hyperlink"/>
                </w:rPr>
                <w:t>GLA polling by YouGov</w:t>
              </w:r>
            </w:hyperlink>
          </w:p>
        </w:tc>
      </w:tr>
      <w:tr w:rsidR="00192936" w:rsidRPr="003E202F" w14:paraId="79B61876" w14:textId="77777777" w:rsidTr="00ED75CA">
        <w:tc>
          <w:tcPr>
            <w:tcW w:w="626" w:type="pct"/>
            <w:vMerge/>
          </w:tcPr>
          <w:p w14:paraId="078C1614" w14:textId="77777777" w:rsidR="00192936" w:rsidRDefault="00192936" w:rsidP="00192936"/>
        </w:tc>
        <w:tc>
          <w:tcPr>
            <w:tcW w:w="4374" w:type="pct"/>
            <w:gridSpan w:val="2"/>
          </w:tcPr>
          <w:p w14:paraId="24379FE2" w14:textId="77777777" w:rsidR="00192936" w:rsidRDefault="00192936" w:rsidP="00192936"/>
          <w:tbl>
            <w:tblPr>
              <w:tblW w:w="7598" w:type="dxa"/>
              <w:tblLook w:val="04A0" w:firstRow="1" w:lastRow="0" w:firstColumn="1" w:lastColumn="0" w:noHBand="0" w:noVBand="1"/>
            </w:tblPr>
            <w:tblGrid>
              <w:gridCol w:w="981"/>
              <w:gridCol w:w="2320"/>
              <w:gridCol w:w="843"/>
              <w:gridCol w:w="781"/>
              <w:gridCol w:w="762"/>
              <w:gridCol w:w="1911"/>
            </w:tblGrid>
            <w:tr w:rsidR="00ED75CA" w:rsidRPr="00F45CA7" w14:paraId="54004CEE" w14:textId="657C3881" w:rsidTr="00ED75CA">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EE1C" w14:textId="33FDF719" w:rsidR="00ED75CA" w:rsidRPr="00F45CA7" w:rsidRDefault="00ED75CA" w:rsidP="008335D7">
                  <w:pPr>
                    <w:rPr>
                      <w:rFonts w:ascii="Calibri" w:hAnsi="Calibri" w:cs="Calibri"/>
                      <w:b/>
                      <w:bCs/>
                      <w:color w:val="000000"/>
                      <w:sz w:val="22"/>
                      <w:szCs w:val="22"/>
                      <w:lang w:eastAsia="en-GB"/>
                    </w:rPr>
                  </w:pPr>
                  <w:r w:rsidRPr="00F45CA7">
                    <w:rPr>
                      <w:rFonts w:ascii="Calibri" w:hAnsi="Calibri" w:cs="Calibri"/>
                      <w:b/>
                      <w:bCs/>
                      <w:color w:val="000000"/>
                      <w:sz w:val="22"/>
                      <w:szCs w:val="22"/>
                      <w:lang w:eastAsia="en-GB"/>
                    </w:rPr>
                    <w:t> Month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C26744" w14:textId="77777777" w:rsidR="00ED75CA" w:rsidRPr="00F45CA7" w:rsidRDefault="00ED75CA" w:rsidP="008335D7">
                  <w:pPr>
                    <w:jc w:val="right"/>
                    <w:rPr>
                      <w:rFonts w:ascii="Calibri" w:hAnsi="Calibri" w:cs="Calibri"/>
                      <w:b/>
                      <w:bCs/>
                      <w:color w:val="000000"/>
                      <w:sz w:val="22"/>
                      <w:szCs w:val="22"/>
                      <w:lang w:eastAsia="en-GB"/>
                    </w:rPr>
                  </w:pPr>
                  <w:r w:rsidRPr="00F45CA7">
                    <w:rPr>
                      <w:rFonts w:ascii="Calibri" w:hAnsi="Calibri" w:cs="Calibri"/>
                      <w:b/>
                      <w:bCs/>
                      <w:color w:val="000000"/>
                      <w:sz w:val="22"/>
                      <w:szCs w:val="22"/>
                      <w:lang w:eastAsia="en-GB"/>
                    </w:rPr>
                    <w:t>Financially struggling</w:t>
                  </w:r>
                </w:p>
              </w:tc>
              <w:tc>
                <w:tcPr>
                  <w:tcW w:w="0" w:type="auto"/>
                  <w:tcBorders>
                    <w:top w:val="single" w:sz="4" w:space="0" w:color="auto"/>
                    <w:left w:val="nil"/>
                    <w:bottom w:val="single" w:sz="4" w:space="0" w:color="auto"/>
                    <w:right w:val="single" w:sz="4" w:space="0" w:color="auto"/>
                  </w:tcBorders>
                </w:tcPr>
                <w:p w14:paraId="03164343" w14:textId="6662592E" w:rsidR="00ED75CA" w:rsidRPr="00F45CA7" w:rsidRDefault="00ED75CA" w:rsidP="008335D7">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White</w:t>
                  </w:r>
                </w:p>
              </w:tc>
              <w:tc>
                <w:tcPr>
                  <w:tcW w:w="0" w:type="auto"/>
                  <w:tcBorders>
                    <w:top w:val="single" w:sz="4" w:space="0" w:color="auto"/>
                    <w:left w:val="nil"/>
                    <w:bottom w:val="single" w:sz="4" w:space="0" w:color="auto"/>
                    <w:right w:val="single" w:sz="4" w:space="0" w:color="auto"/>
                  </w:tcBorders>
                </w:tcPr>
                <w:p w14:paraId="7310866D" w14:textId="53F4E4C7" w:rsidR="00ED75CA" w:rsidRPr="00F45CA7" w:rsidRDefault="00ED75CA" w:rsidP="008335D7">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Asian</w:t>
                  </w:r>
                </w:p>
              </w:tc>
              <w:tc>
                <w:tcPr>
                  <w:tcW w:w="0" w:type="auto"/>
                  <w:tcBorders>
                    <w:top w:val="single" w:sz="4" w:space="0" w:color="auto"/>
                    <w:left w:val="nil"/>
                    <w:bottom w:val="single" w:sz="4" w:space="0" w:color="auto"/>
                    <w:right w:val="single" w:sz="4" w:space="0" w:color="auto"/>
                  </w:tcBorders>
                </w:tcPr>
                <w:p w14:paraId="7EE97E80" w14:textId="6910B94F" w:rsidR="00ED75CA" w:rsidRPr="00F45CA7" w:rsidRDefault="00ED75CA" w:rsidP="008335D7">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Black</w:t>
                  </w:r>
                </w:p>
              </w:tc>
              <w:tc>
                <w:tcPr>
                  <w:tcW w:w="0" w:type="auto"/>
                  <w:tcBorders>
                    <w:top w:val="single" w:sz="4" w:space="0" w:color="auto"/>
                    <w:left w:val="nil"/>
                    <w:bottom w:val="single" w:sz="4" w:space="0" w:color="auto"/>
                    <w:right w:val="single" w:sz="4" w:space="0" w:color="auto"/>
                  </w:tcBorders>
                </w:tcPr>
                <w:p w14:paraId="5EA6DDEC" w14:textId="7D783D4B" w:rsidR="00ED75CA" w:rsidRPr="00F45CA7" w:rsidRDefault="00ED75CA" w:rsidP="008335D7">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Other and mixed</w:t>
                  </w:r>
                </w:p>
              </w:tc>
            </w:tr>
            <w:tr w:rsidR="00ED75CA" w:rsidRPr="00F45CA7" w14:paraId="4003516A" w14:textId="6921F256"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942D44"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Jan-22</w:t>
                  </w:r>
                </w:p>
              </w:tc>
              <w:tc>
                <w:tcPr>
                  <w:tcW w:w="0" w:type="auto"/>
                  <w:tcBorders>
                    <w:top w:val="nil"/>
                    <w:left w:val="nil"/>
                    <w:bottom w:val="single" w:sz="4" w:space="0" w:color="auto"/>
                    <w:right w:val="single" w:sz="4" w:space="0" w:color="auto"/>
                  </w:tcBorders>
                  <w:shd w:val="clear" w:color="auto" w:fill="auto"/>
                  <w:noWrap/>
                  <w:vAlign w:val="bottom"/>
                  <w:hideMark/>
                </w:tcPr>
                <w:p w14:paraId="11994546"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12%</w:t>
                  </w:r>
                </w:p>
              </w:tc>
              <w:tc>
                <w:tcPr>
                  <w:tcW w:w="0" w:type="auto"/>
                  <w:tcBorders>
                    <w:top w:val="nil"/>
                    <w:left w:val="nil"/>
                    <w:bottom w:val="single" w:sz="4" w:space="0" w:color="auto"/>
                    <w:right w:val="single" w:sz="4" w:space="0" w:color="auto"/>
                  </w:tcBorders>
                </w:tcPr>
                <w:p w14:paraId="2BDE828F" w14:textId="44B15130"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10%</w:t>
                  </w:r>
                </w:p>
              </w:tc>
              <w:tc>
                <w:tcPr>
                  <w:tcW w:w="0" w:type="auto"/>
                  <w:tcBorders>
                    <w:top w:val="nil"/>
                    <w:left w:val="nil"/>
                    <w:bottom w:val="single" w:sz="4" w:space="0" w:color="auto"/>
                    <w:right w:val="single" w:sz="4" w:space="0" w:color="auto"/>
                  </w:tcBorders>
                </w:tcPr>
                <w:p w14:paraId="53F125E0" w14:textId="4641D1D0"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16%</w:t>
                  </w:r>
                </w:p>
              </w:tc>
              <w:tc>
                <w:tcPr>
                  <w:tcW w:w="0" w:type="auto"/>
                  <w:tcBorders>
                    <w:top w:val="nil"/>
                    <w:left w:val="nil"/>
                    <w:bottom w:val="single" w:sz="4" w:space="0" w:color="auto"/>
                    <w:right w:val="single" w:sz="4" w:space="0" w:color="auto"/>
                  </w:tcBorders>
                </w:tcPr>
                <w:p w14:paraId="0C44B351" w14:textId="16234D10"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c>
                <w:tcPr>
                  <w:tcW w:w="0" w:type="auto"/>
                  <w:tcBorders>
                    <w:top w:val="nil"/>
                    <w:left w:val="nil"/>
                    <w:bottom w:val="single" w:sz="4" w:space="0" w:color="auto"/>
                    <w:right w:val="single" w:sz="4" w:space="0" w:color="auto"/>
                  </w:tcBorders>
                </w:tcPr>
                <w:p w14:paraId="429FCF5E" w14:textId="7D8D0CD7"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14%</w:t>
                  </w:r>
                </w:p>
              </w:tc>
            </w:tr>
            <w:tr w:rsidR="00ED75CA" w:rsidRPr="00F45CA7" w14:paraId="7EA79F1A" w14:textId="7118C7A8"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57382E"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Feb-22</w:t>
                  </w:r>
                </w:p>
              </w:tc>
              <w:tc>
                <w:tcPr>
                  <w:tcW w:w="0" w:type="auto"/>
                  <w:tcBorders>
                    <w:top w:val="nil"/>
                    <w:left w:val="nil"/>
                    <w:bottom w:val="single" w:sz="4" w:space="0" w:color="auto"/>
                    <w:right w:val="single" w:sz="4" w:space="0" w:color="auto"/>
                  </w:tcBorders>
                  <w:shd w:val="clear" w:color="auto" w:fill="auto"/>
                  <w:noWrap/>
                  <w:vAlign w:val="bottom"/>
                  <w:hideMark/>
                </w:tcPr>
                <w:p w14:paraId="5F133365"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14%</w:t>
                  </w:r>
                </w:p>
              </w:tc>
              <w:tc>
                <w:tcPr>
                  <w:tcW w:w="0" w:type="auto"/>
                  <w:tcBorders>
                    <w:top w:val="nil"/>
                    <w:left w:val="nil"/>
                    <w:bottom w:val="single" w:sz="4" w:space="0" w:color="auto"/>
                    <w:right w:val="single" w:sz="4" w:space="0" w:color="auto"/>
                  </w:tcBorders>
                </w:tcPr>
                <w:p w14:paraId="3F613FEA" w14:textId="51B5838E"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14%</w:t>
                  </w:r>
                </w:p>
              </w:tc>
              <w:tc>
                <w:tcPr>
                  <w:tcW w:w="0" w:type="auto"/>
                  <w:tcBorders>
                    <w:top w:val="nil"/>
                    <w:left w:val="nil"/>
                    <w:bottom w:val="single" w:sz="4" w:space="0" w:color="auto"/>
                    <w:right w:val="single" w:sz="4" w:space="0" w:color="auto"/>
                  </w:tcBorders>
                </w:tcPr>
                <w:p w14:paraId="6AB19931" w14:textId="73631DFC"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14%</w:t>
                  </w:r>
                </w:p>
              </w:tc>
              <w:tc>
                <w:tcPr>
                  <w:tcW w:w="0" w:type="auto"/>
                  <w:tcBorders>
                    <w:top w:val="nil"/>
                    <w:left w:val="nil"/>
                    <w:bottom w:val="single" w:sz="4" w:space="0" w:color="auto"/>
                    <w:right w:val="single" w:sz="4" w:space="0" w:color="auto"/>
                  </w:tcBorders>
                </w:tcPr>
                <w:p w14:paraId="2D2A1375" w14:textId="0DADC516"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13%</w:t>
                  </w:r>
                </w:p>
              </w:tc>
              <w:tc>
                <w:tcPr>
                  <w:tcW w:w="0" w:type="auto"/>
                  <w:tcBorders>
                    <w:top w:val="nil"/>
                    <w:left w:val="nil"/>
                    <w:bottom w:val="single" w:sz="4" w:space="0" w:color="auto"/>
                    <w:right w:val="single" w:sz="4" w:space="0" w:color="auto"/>
                  </w:tcBorders>
                </w:tcPr>
                <w:p w14:paraId="423941C6" w14:textId="21B2F538"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17%</w:t>
                  </w:r>
                </w:p>
              </w:tc>
            </w:tr>
            <w:tr w:rsidR="00ED75CA" w:rsidRPr="00F45CA7" w14:paraId="350617B1" w14:textId="323270DB"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8F9A7C"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Apr-22</w:t>
                  </w:r>
                </w:p>
              </w:tc>
              <w:tc>
                <w:tcPr>
                  <w:tcW w:w="0" w:type="auto"/>
                  <w:tcBorders>
                    <w:top w:val="nil"/>
                    <w:left w:val="nil"/>
                    <w:bottom w:val="single" w:sz="4" w:space="0" w:color="auto"/>
                    <w:right w:val="single" w:sz="4" w:space="0" w:color="auto"/>
                  </w:tcBorders>
                  <w:shd w:val="clear" w:color="auto" w:fill="auto"/>
                  <w:noWrap/>
                  <w:vAlign w:val="bottom"/>
                  <w:hideMark/>
                </w:tcPr>
                <w:p w14:paraId="43267292"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14%</w:t>
                  </w:r>
                </w:p>
              </w:tc>
              <w:tc>
                <w:tcPr>
                  <w:tcW w:w="0" w:type="auto"/>
                  <w:tcBorders>
                    <w:top w:val="nil"/>
                    <w:left w:val="nil"/>
                    <w:bottom w:val="single" w:sz="4" w:space="0" w:color="auto"/>
                    <w:right w:val="single" w:sz="4" w:space="0" w:color="auto"/>
                  </w:tcBorders>
                </w:tcPr>
                <w:p w14:paraId="25F15945" w14:textId="06340A1B"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13%</w:t>
                  </w:r>
                </w:p>
              </w:tc>
              <w:tc>
                <w:tcPr>
                  <w:tcW w:w="0" w:type="auto"/>
                  <w:tcBorders>
                    <w:top w:val="nil"/>
                    <w:left w:val="nil"/>
                    <w:bottom w:val="single" w:sz="4" w:space="0" w:color="auto"/>
                    <w:right w:val="single" w:sz="4" w:space="0" w:color="auto"/>
                  </w:tcBorders>
                </w:tcPr>
                <w:p w14:paraId="00997488" w14:textId="510602D3"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15%</w:t>
                  </w:r>
                </w:p>
              </w:tc>
              <w:tc>
                <w:tcPr>
                  <w:tcW w:w="0" w:type="auto"/>
                  <w:tcBorders>
                    <w:top w:val="nil"/>
                    <w:left w:val="nil"/>
                    <w:bottom w:val="single" w:sz="4" w:space="0" w:color="auto"/>
                    <w:right w:val="single" w:sz="4" w:space="0" w:color="auto"/>
                  </w:tcBorders>
                </w:tcPr>
                <w:p w14:paraId="0ED55404" w14:textId="000C4083"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15%</w:t>
                  </w:r>
                </w:p>
              </w:tc>
              <w:tc>
                <w:tcPr>
                  <w:tcW w:w="0" w:type="auto"/>
                  <w:tcBorders>
                    <w:top w:val="nil"/>
                    <w:left w:val="nil"/>
                    <w:bottom w:val="single" w:sz="4" w:space="0" w:color="auto"/>
                    <w:right w:val="single" w:sz="4" w:space="0" w:color="auto"/>
                  </w:tcBorders>
                </w:tcPr>
                <w:p w14:paraId="2904C5D7" w14:textId="15F55675"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14%</w:t>
                  </w:r>
                </w:p>
              </w:tc>
            </w:tr>
            <w:tr w:rsidR="00ED75CA" w:rsidRPr="00F45CA7" w14:paraId="5917984E" w14:textId="77D2500F"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C7B42C"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May-22</w:t>
                  </w:r>
                </w:p>
              </w:tc>
              <w:tc>
                <w:tcPr>
                  <w:tcW w:w="0" w:type="auto"/>
                  <w:tcBorders>
                    <w:top w:val="nil"/>
                    <w:left w:val="nil"/>
                    <w:bottom w:val="single" w:sz="4" w:space="0" w:color="auto"/>
                    <w:right w:val="single" w:sz="4" w:space="0" w:color="auto"/>
                  </w:tcBorders>
                  <w:shd w:val="clear" w:color="auto" w:fill="auto"/>
                  <w:noWrap/>
                  <w:vAlign w:val="bottom"/>
                  <w:hideMark/>
                </w:tcPr>
                <w:p w14:paraId="1957D1C8"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15%</w:t>
                  </w:r>
                </w:p>
              </w:tc>
              <w:tc>
                <w:tcPr>
                  <w:tcW w:w="0" w:type="auto"/>
                  <w:tcBorders>
                    <w:top w:val="nil"/>
                    <w:left w:val="nil"/>
                    <w:bottom w:val="single" w:sz="4" w:space="0" w:color="auto"/>
                    <w:right w:val="single" w:sz="4" w:space="0" w:color="auto"/>
                  </w:tcBorders>
                </w:tcPr>
                <w:p w14:paraId="40131371" w14:textId="6101D422"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15%</w:t>
                  </w:r>
                </w:p>
              </w:tc>
              <w:tc>
                <w:tcPr>
                  <w:tcW w:w="0" w:type="auto"/>
                  <w:tcBorders>
                    <w:top w:val="nil"/>
                    <w:left w:val="nil"/>
                    <w:bottom w:val="single" w:sz="4" w:space="0" w:color="auto"/>
                    <w:right w:val="single" w:sz="4" w:space="0" w:color="auto"/>
                  </w:tcBorders>
                </w:tcPr>
                <w:p w14:paraId="2DA72F26" w14:textId="3D01F6B7"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c>
                <w:tcPr>
                  <w:tcW w:w="0" w:type="auto"/>
                  <w:tcBorders>
                    <w:top w:val="nil"/>
                    <w:left w:val="nil"/>
                    <w:bottom w:val="single" w:sz="4" w:space="0" w:color="auto"/>
                    <w:right w:val="single" w:sz="4" w:space="0" w:color="auto"/>
                  </w:tcBorders>
                </w:tcPr>
                <w:p w14:paraId="5FB915EC" w14:textId="450D0814"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12%</w:t>
                  </w:r>
                </w:p>
              </w:tc>
              <w:tc>
                <w:tcPr>
                  <w:tcW w:w="0" w:type="auto"/>
                  <w:tcBorders>
                    <w:top w:val="nil"/>
                    <w:left w:val="nil"/>
                    <w:bottom w:val="single" w:sz="4" w:space="0" w:color="auto"/>
                    <w:right w:val="single" w:sz="4" w:space="0" w:color="auto"/>
                  </w:tcBorders>
                </w:tcPr>
                <w:p w14:paraId="5A8AE23D" w14:textId="6F431D3D"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13%</w:t>
                  </w:r>
                </w:p>
              </w:tc>
            </w:tr>
            <w:tr w:rsidR="00ED75CA" w:rsidRPr="00F45CA7" w14:paraId="2E04572F" w14:textId="3DAD5AA8"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3AE071"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Jun-22</w:t>
                  </w:r>
                </w:p>
              </w:tc>
              <w:tc>
                <w:tcPr>
                  <w:tcW w:w="0" w:type="auto"/>
                  <w:tcBorders>
                    <w:top w:val="nil"/>
                    <w:left w:val="nil"/>
                    <w:bottom w:val="single" w:sz="4" w:space="0" w:color="auto"/>
                    <w:right w:val="single" w:sz="4" w:space="0" w:color="auto"/>
                  </w:tcBorders>
                  <w:shd w:val="clear" w:color="auto" w:fill="auto"/>
                  <w:noWrap/>
                  <w:vAlign w:val="bottom"/>
                  <w:hideMark/>
                </w:tcPr>
                <w:p w14:paraId="62C155C5"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17%</w:t>
                  </w:r>
                </w:p>
              </w:tc>
              <w:tc>
                <w:tcPr>
                  <w:tcW w:w="0" w:type="auto"/>
                  <w:tcBorders>
                    <w:top w:val="nil"/>
                    <w:left w:val="nil"/>
                    <w:bottom w:val="single" w:sz="4" w:space="0" w:color="auto"/>
                    <w:right w:val="single" w:sz="4" w:space="0" w:color="auto"/>
                  </w:tcBorders>
                </w:tcPr>
                <w:p w14:paraId="715B5361" w14:textId="378806DC" w:rsidR="00C620CE" w:rsidRPr="00F45CA7" w:rsidRDefault="00C620CE" w:rsidP="00C620CE">
                  <w:pPr>
                    <w:jc w:val="right"/>
                    <w:rPr>
                      <w:rFonts w:ascii="Calibri" w:hAnsi="Calibri" w:cs="Calibri"/>
                      <w:color w:val="000000"/>
                      <w:sz w:val="22"/>
                      <w:szCs w:val="22"/>
                      <w:lang w:eastAsia="en-GB"/>
                    </w:rPr>
                  </w:pPr>
                  <w:r>
                    <w:rPr>
                      <w:rFonts w:ascii="Calibri" w:hAnsi="Calibri" w:cs="Calibri"/>
                      <w:color w:val="000000"/>
                      <w:sz w:val="22"/>
                      <w:szCs w:val="22"/>
                      <w:lang w:eastAsia="en-GB"/>
                    </w:rPr>
                    <w:t>16%</w:t>
                  </w:r>
                </w:p>
              </w:tc>
              <w:tc>
                <w:tcPr>
                  <w:tcW w:w="0" w:type="auto"/>
                  <w:tcBorders>
                    <w:top w:val="nil"/>
                    <w:left w:val="nil"/>
                    <w:bottom w:val="single" w:sz="4" w:space="0" w:color="auto"/>
                    <w:right w:val="single" w:sz="4" w:space="0" w:color="auto"/>
                  </w:tcBorders>
                </w:tcPr>
                <w:p w14:paraId="0518489C" w14:textId="66E64F9D"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17%</w:t>
                  </w:r>
                </w:p>
              </w:tc>
              <w:tc>
                <w:tcPr>
                  <w:tcW w:w="0" w:type="auto"/>
                  <w:tcBorders>
                    <w:top w:val="nil"/>
                    <w:left w:val="nil"/>
                    <w:bottom w:val="single" w:sz="4" w:space="0" w:color="auto"/>
                    <w:right w:val="single" w:sz="4" w:space="0" w:color="auto"/>
                  </w:tcBorders>
                </w:tcPr>
                <w:p w14:paraId="74E57B2F" w14:textId="50DFF3B5"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21%</w:t>
                  </w:r>
                </w:p>
              </w:tc>
              <w:tc>
                <w:tcPr>
                  <w:tcW w:w="0" w:type="auto"/>
                  <w:tcBorders>
                    <w:top w:val="nil"/>
                    <w:left w:val="nil"/>
                    <w:bottom w:val="single" w:sz="4" w:space="0" w:color="auto"/>
                    <w:right w:val="single" w:sz="4" w:space="0" w:color="auto"/>
                  </w:tcBorders>
                </w:tcPr>
                <w:p w14:paraId="22B3B8A1" w14:textId="7001ACF2"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r>
            <w:tr w:rsidR="00ED75CA" w:rsidRPr="00F45CA7" w14:paraId="6EEAFB58" w14:textId="2C30AC05"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918023"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Jul-22</w:t>
                  </w:r>
                </w:p>
              </w:tc>
              <w:tc>
                <w:tcPr>
                  <w:tcW w:w="0" w:type="auto"/>
                  <w:tcBorders>
                    <w:top w:val="nil"/>
                    <w:left w:val="nil"/>
                    <w:bottom w:val="single" w:sz="4" w:space="0" w:color="auto"/>
                    <w:right w:val="single" w:sz="4" w:space="0" w:color="auto"/>
                  </w:tcBorders>
                  <w:shd w:val="clear" w:color="auto" w:fill="auto"/>
                  <w:noWrap/>
                  <w:vAlign w:val="bottom"/>
                  <w:hideMark/>
                </w:tcPr>
                <w:p w14:paraId="23EDA54B"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19%</w:t>
                  </w:r>
                </w:p>
              </w:tc>
              <w:tc>
                <w:tcPr>
                  <w:tcW w:w="0" w:type="auto"/>
                  <w:tcBorders>
                    <w:top w:val="nil"/>
                    <w:left w:val="nil"/>
                    <w:bottom w:val="single" w:sz="4" w:space="0" w:color="auto"/>
                    <w:right w:val="single" w:sz="4" w:space="0" w:color="auto"/>
                  </w:tcBorders>
                </w:tcPr>
                <w:p w14:paraId="5FE6650B" w14:textId="7F9B9FC6"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16%</w:t>
                  </w:r>
                </w:p>
              </w:tc>
              <w:tc>
                <w:tcPr>
                  <w:tcW w:w="0" w:type="auto"/>
                  <w:tcBorders>
                    <w:top w:val="nil"/>
                    <w:left w:val="nil"/>
                    <w:bottom w:val="single" w:sz="4" w:space="0" w:color="auto"/>
                    <w:right w:val="single" w:sz="4" w:space="0" w:color="auto"/>
                  </w:tcBorders>
                </w:tcPr>
                <w:p w14:paraId="76A7DEAE" w14:textId="4C143884"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20%</w:t>
                  </w:r>
                </w:p>
              </w:tc>
              <w:tc>
                <w:tcPr>
                  <w:tcW w:w="0" w:type="auto"/>
                  <w:tcBorders>
                    <w:top w:val="nil"/>
                    <w:left w:val="nil"/>
                    <w:bottom w:val="single" w:sz="4" w:space="0" w:color="auto"/>
                    <w:right w:val="single" w:sz="4" w:space="0" w:color="auto"/>
                  </w:tcBorders>
                </w:tcPr>
                <w:p w14:paraId="2966FFE6" w14:textId="05782F62"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31%</w:t>
                  </w:r>
                </w:p>
              </w:tc>
              <w:tc>
                <w:tcPr>
                  <w:tcW w:w="0" w:type="auto"/>
                  <w:tcBorders>
                    <w:top w:val="nil"/>
                    <w:left w:val="nil"/>
                    <w:bottom w:val="single" w:sz="4" w:space="0" w:color="auto"/>
                    <w:right w:val="single" w:sz="4" w:space="0" w:color="auto"/>
                  </w:tcBorders>
                </w:tcPr>
                <w:p w14:paraId="6F73DC6A" w14:textId="31A46298"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14%</w:t>
                  </w:r>
                </w:p>
              </w:tc>
            </w:tr>
            <w:tr w:rsidR="00ED75CA" w:rsidRPr="00F45CA7" w14:paraId="208A5190" w14:textId="67CC0D8A"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95BA6"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Aug-22</w:t>
                  </w:r>
                </w:p>
              </w:tc>
              <w:tc>
                <w:tcPr>
                  <w:tcW w:w="0" w:type="auto"/>
                  <w:tcBorders>
                    <w:top w:val="nil"/>
                    <w:left w:val="nil"/>
                    <w:bottom w:val="single" w:sz="4" w:space="0" w:color="auto"/>
                    <w:right w:val="single" w:sz="4" w:space="0" w:color="auto"/>
                  </w:tcBorders>
                  <w:shd w:val="clear" w:color="auto" w:fill="auto"/>
                  <w:noWrap/>
                  <w:vAlign w:val="bottom"/>
                  <w:hideMark/>
                </w:tcPr>
                <w:p w14:paraId="2CFDD2BC"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19%</w:t>
                  </w:r>
                </w:p>
              </w:tc>
              <w:tc>
                <w:tcPr>
                  <w:tcW w:w="0" w:type="auto"/>
                  <w:tcBorders>
                    <w:top w:val="nil"/>
                    <w:left w:val="nil"/>
                    <w:bottom w:val="single" w:sz="4" w:space="0" w:color="auto"/>
                    <w:right w:val="single" w:sz="4" w:space="0" w:color="auto"/>
                  </w:tcBorders>
                </w:tcPr>
                <w:p w14:paraId="5905CDC7" w14:textId="43011603"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17%</w:t>
                  </w:r>
                </w:p>
              </w:tc>
              <w:tc>
                <w:tcPr>
                  <w:tcW w:w="0" w:type="auto"/>
                  <w:tcBorders>
                    <w:top w:val="nil"/>
                    <w:left w:val="nil"/>
                    <w:bottom w:val="single" w:sz="4" w:space="0" w:color="auto"/>
                    <w:right w:val="single" w:sz="4" w:space="0" w:color="auto"/>
                  </w:tcBorders>
                </w:tcPr>
                <w:p w14:paraId="7DF6BEB8" w14:textId="51ACC2F6"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17%</w:t>
                  </w:r>
                </w:p>
              </w:tc>
              <w:tc>
                <w:tcPr>
                  <w:tcW w:w="0" w:type="auto"/>
                  <w:tcBorders>
                    <w:top w:val="nil"/>
                    <w:left w:val="nil"/>
                    <w:bottom w:val="single" w:sz="4" w:space="0" w:color="auto"/>
                    <w:right w:val="single" w:sz="4" w:space="0" w:color="auto"/>
                  </w:tcBorders>
                </w:tcPr>
                <w:p w14:paraId="6BA4A44F" w14:textId="41CCA164"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29%</w:t>
                  </w:r>
                </w:p>
              </w:tc>
              <w:tc>
                <w:tcPr>
                  <w:tcW w:w="0" w:type="auto"/>
                  <w:tcBorders>
                    <w:top w:val="nil"/>
                    <w:left w:val="nil"/>
                    <w:bottom w:val="single" w:sz="4" w:space="0" w:color="auto"/>
                    <w:right w:val="single" w:sz="4" w:space="0" w:color="auto"/>
                  </w:tcBorders>
                </w:tcPr>
                <w:p w14:paraId="2640686E" w14:textId="43ECDBBF"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20%</w:t>
                  </w:r>
                </w:p>
              </w:tc>
            </w:tr>
            <w:tr w:rsidR="00ED75CA" w:rsidRPr="00F45CA7" w14:paraId="76FF1822" w14:textId="4AFF622F"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67BDED"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Sep-22</w:t>
                  </w:r>
                </w:p>
              </w:tc>
              <w:tc>
                <w:tcPr>
                  <w:tcW w:w="0" w:type="auto"/>
                  <w:tcBorders>
                    <w:top w:val="nil"/>
                    <w:left w:val="nil"/>
                    <w:bottom w:val="single" w:sz="4" w:space="0" w:color="auto"/>
                    <w:right w:val="single" w:sz="4" w:space="0" w:color="auto"/>
                  </w:tcBorders>
                  <w:shd w:val="clear" w:color="auto" w:fill="auto"/>
                  <w:noWrap/>
                  <w:vAlign w:val="bottom"/>
                  <w:hideMark/>
                </w:tcPr>
                <w:p w14:paraId="27EE2B47"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20%</w:t>
                  </w:r>
                </w:p>
              </w:tc>
              <w:tc>
                <w:tcPr>
                  <w:tcW w:w="0" w:type="auto"/>
                  <w:tcBorders>
                    <w:top w:val="nil"/>
                    <w:left w:val="nil"/>
                    <w:bottom w:val="single" w:sz="4" w:space="0" w:color="auto"/>
                    <w:right w:val="single" w:sz="4" w:space="0" w:color="auto"/>
                  </w:tcBorders>
                </w:tcPr>
                <w:p w14:paraId="74318AC8" w14:textId="04F3AE44"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20%</w:t>
                  </w:r>
                </w:p>
              </w:tc>
              <w:tc>
                <w:tcPr>
                  <w:tcW w:w="0" w:type="auto"/>
                  <w:tcBorders>
                    <w:top w:val="nil"/>
                    <w:left w:val="nil"/>
                    <w:bottom w:val="single" w:sz="4" w:space="0" w:color="auto"/>
                    <w:right w:val="single" w:sz="4" w:space="0" w:color="auto"/>
                  </w:tcBorders>
                </w:tcPr>
                <w:p w14:paraId="51A212E7" w14:textId="3EA90CF6"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16%</w:t>
                  </w:r>
                </w:p>
              </w:tc>
              <w:tc>
                <w:tcPr>
                  <w:tcW w:w="0" w:type="auto"/>
                  <w:tcBorders>
                    <w:top w:val="nil"/>
                    <w:left w:val="nil"/>
                    <w:bottom w:val="single" w:sz="4" w:space="0" w:color="auto"/>
                    <w:right w:val="single" w:sz="4" w:space="0" w:color="auto"/>
                  </w:tcBorders>
                </w:tcPr>
                <w:p w14:paraId="7BA02097" w14:textId="3C6F3116"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23%</w:t>
                  </w:r>
                </w:p>
              </w:tc>
              <w:tc>
                <w:tcPr>
                  <w:tcW w:w="0" w:type="auto"/>
                  <w:tcBorders>
                    <w:top w:val="nil"/>
                    <w:left w:val="nil"/>
                    <w:bottom w:val="single" w:sz="4" w:space="0" w:color="auto"/>
                    <w:right w:val="single" w:sz="4" w:space="0" w:color="auto"/>
                  </w:tcBorders>
                </w:tcPr>
                <w:p w14:paraId="490F4734" w14:textId="6D8008E6"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22%</w:t>
                  </w:r>
                </w:p>
              </w:tc>
            </w:tr>
            <w:tr w:rsidR="00ED75CA" w:rsidRPr="00F45CA7" w14:paraId="63304E56" w14:textId="73BD6A8B"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4DCC49"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Oct-22</w:t>
                  </w:r>
                </w:p>
              </w:tc>
              <w:tc>
                <w:tcPr>
                  <w:tcW w:w="0" w:type="auto"/>
                  <w:tcBorders>
                    <w:top w:val="nil"/>
                    <w:left w:val="nil"/>
                    <w:bottom w:val="single" w:sz="4" w:space="0" w:color="auto"/>
                    <w:right w:val="single" w:sz="4" w:space="0" w:color="auto"/>
                  </w:tcBorders>
                  <w:shd w:val="clear" w:color="auto" w:fill="auto"/>
                  <w:noWrap/>
                  <w:vAlign w:val="bottom"/>
                  <w:hideMark/>
                </w:tcPr>
                <w:p w14:paraId="4AA2D0C7"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18%</w:t>
                  </w:r>
                </w:p>
              </w:tc>
              <w:tc>
                <w:tcPr>
                  <w:tcW w:w="0" w:type="auto"/>
                  <w:tcBorders>
                    <w:top w:val="nil"/>
                    <w:left w:val="nil"/>
                    <w:bottom w:val="single" w:sz="4" w:space="0" w:color="auto"/>
                    <w:right w:val="single" w:sz="4" w:space="0" w:color="auto"/>
                  </w:tcBorders>
                </w:tcPr>
                <w:p w14:paraId="1DEB610C" w14:textId="55214FD5"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16%</w:t>
                  </w:r>
                </w:p>
              </w:tc>
              <w:tc>
                <w:tcPr>
                  <w:tcW w:w="0" w:type="auto"/>
                  <w:tcBorders>
                    <w:top w:val="nil"/>
                    <w:left w:val="nil"/>
                    <w:bottom w:val="single" w:sz="4" w:space="0" w:color="auto"/>
                    <w:right w:val="single" w:sz="4" w:space="0" w:color="auto"/>
                  </w:tcBorders>
                </w:tcPr>
                <w:p w14:paraId="33EFC8E9" w14:textId="522B8BDC"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c>
                <w:tcPr>
                  <w:tcW w:w="0" w:type="auto"/>
                  <w:tcBorders>
                    <w:top w:val="nil"/>
                    <w:left w:val="nil"/>
                    <w:bottom w:val="single" w:sz="4" w:space="0" w:color="auto"/>
                    <w:right w:val="single" w:sz="4" w:space="0" w:color="auto"/>
                  </w:tcBorders>
                </w:tcPr>
                <w:p w14:paraId="1D987F8F" w14:textId="6569F01D"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32%</w:t>
                  </w:r>
                </w:p>
              </w:tc>
              <w:tc>
                <w:tcPr>
                  <w:tcW w:w="0" w:type="auto"/>
                  <w:tcBorders>
                    <w:top w:val="nil"/>
                    <w:left w:val="nil"/>
                    <w:bottom w:val="single" w:sz="4" w:space="0" w:color="auto"/>
                    <w:right w:val="single" w:sz="4" w:space="0" w:color="auto"/>
                  </w:tcBorders>
                </w:tcPr>
                <w:p w14:paraId="7E625368" w14:textId="7BADE714"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r>
            <w:tr w:rsidR="00ED75CA" w:rsidRPr="00F45CA7" w14:paraId="3E8F1989" w14:textId="48A78591"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A3699"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Nov-22</w:t>
                  </w:r>
                </w:p>
              </w:tc>
              <w:tc>
                <w:tcPr>
                  <w:tcW w:w="0" w:type="auto"/>
                  <w:tcBorders>
                    <w:top w:val="nil"/>
                    <w:left w:val="nil"/>
                    <w:bottom w:val="single" w:sz="4" w:space="0" w:color="auto"/>
                    <w:right w:val="single" w:sz="4" w:space="0" w:color="auto"/>
                  </w:tcBorders>
                  <w:shd w:val="clear" w:color="auto" w:fill="auto"/>
                  <w:noWrap/>
                  <w:vAlign w:val="bottom"/>
                  <w:hideMark/>
                </w:tcPr>
                <w:p w14:paraId="074D6101"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19%</w:t>
                  </w:r>
                </w:p>
              </w:tc>
              <w:tc>
                <w:tcPr>
                  <w:tcW w:w="0" w:type="auto"/>
                  <w:tcBorders>
                    <w:top w:val="nil"/>
                    <w:left w:val="nil"/>
                    <w:bottom w:val="single" w:sz="4" w:space="0" w:color="auto"/>
                    <w:right w:val="single" w:sz="4" w:space="0" w:color="auto"/>
                  </w:tcBorders>
                </w:tcPr>
                <w:p w14:paraId="3E0F9D5E" w14:textId="7972980F"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c>
                <w:tcPr>
                  <w:tcW w:w="0" w:type="auto"/>
                  <w:tcBorders>
                    <w:top w:val="nil"/>
                    <w:left w:val="nil"/>
                    <w:bottom w:val="single" w:sz="4" w:space="0" w:color="auto"/>
                    <w:right w:val="single" w:sz="4" w:space="0" w:color="auto"/>
                  </w:tcBorders>
                </w:tcPr>
                <w:p w14:paraId="153C083A" w14:textId="68AF3653"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19%</w:t>
                  </w:r>
                </w:p>
              </w:tc>
              <w:tc>
                <w:tcPr>
                  <w:tcW w:w="0" w:type="auto"/>
                  <w:tcBorders>
                    <w:top w:val="nil"/>
                    <w:left w:val="nil"/>
                    <w:bottom w:val="single" w:sz="4" w:space="0" w:color="auto"/>
                    <w:right w:val="single" w:sz="4" w:space="0" w:color="auto"/>
                  </w:tcBorders>
                </w:tcPr>
                <w:p w14:paraId="72D679BC" w14:textId="4E605419"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23%</w:t>
                  </w:r>
                </w:p>
              </w:tc>
              <w:tc>
                <w:tcPr>
                  <w:tcW w:w="0" w:type="auto"/>
                  <w:tcBorders>
                    <w:top w:val="nil"/>
                    <w:left w:val="nil"/>
                    <w:bottom w:val="single" w:sz="4" w:space="0" w:color="auto"/>
                    <w:right w:val="single" w:sz="4" w:space="0" w:color="auto"/>
                  </w:tcBorders>
                </w:tcPr>
                <w:p w14:paraId="29092207" w14:textId="77825026"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17%</w:t>
                  </w:r>
                </w:p>
              </w:tc>
            </w:tr>
            <w:tr w:rsidR="00ED75CA" w:rsidRPr="00F45CA7" w14:paraId="36C0ED1A" w14:textId="0A1F04A0"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D38320"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Dec-22</w:t>
                  </w:r>
                </w:p>
              </w:tc>
              <w:tc>
                <w:tcPr>
                  <w:tcW w:w="0" w:type="auto"/>
                  <w:tcBorders>
                    <w:top w:val="nil"/>
                    <w:left w:val="nil"/>
                    <w:bottom w:val="single" w:sz="4" w:space="0" w:color="auto"/>
                    <w:right w:val="single" w:sz="4" w:space="0" w:color="auto"/>
                  </w:tcBorders>
                  <w:shd w:val="clear" w:color="auto" w:fill="auto"/>
                  <w:noWrap/>
                  <w:vAlign w:val="bottom"/>
                  <w:hideMark/>
                </w:tcPr>
                <w:p w14:paraId="575A1ABF"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20%</w:t>
                  </w:r>
                </w:p>
              </w:tc>
              <w:tc>
                <w:tcPr>
                  <w:tcW w:w="0" w:type="auto"/>
                  <w:tcBorders>
                    <w:top w:val="nil"/>
                    <w:left w:val="nil"/>
                    <w:bottom w:val="single" w:sz="4" w:space="0" w:color="auto"/>
                    <w:right w:val="single" w:sz="4" w:space="0" w:color="auto"/>
                  </w:tcBorders>
                </w:tcPr>
                <w:p w14:paraId="54455A40" w14:textId="198B4402"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c>
                <w:tcPr>
                  <w:tcW w:w="0" w:type="auto"/>
                  <w:tcBorders>
                    <w:top w:val="nil"/>
                    <w:left w:val="nil"/>
                    <w:bottom w:val="single" w:sz="4" w:space="0" w:color="auto"/>
                    <w:right w:val="single" w:sz="4" w:space="0" w:color="auto"/>
                  </w:tcBorders>
                </w:tcPr>
                <w:p w14:paraId="15985F39" w14:textId="28F73A6C"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21%</w:t>
                  </w:r>
                </w:p>
              </w:tc>
              <w:tc>
                <w:tcPr>
                  <w:tcW w:w="0" w:type="auto"/>
                  <w:tcBorders>
                    <w:top w:val="nil"/>
                    <w:left w:val="nil"/>
                    <w:bottom w:val="single" w:sz="4" w:space="0" w:color="auto"/>
                    <w:right w:val="single" w:sz="4" w:space="0" w:color="auto"/>
                  </w:tcBorders>
                </w:tcPr>
                <w:p w14:paraId="4E2DFF59" w14:textId="472DEA59"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23%</w:t>
                  </w:r>
                </w:p>
              </w:tc>
              <w:tc>
                <w:tcPr>
                  <w:tcW w:w="0" w:type="auto"/>
                  <w:tcBorders>
                    <w:top w:val="nil"/>
                    <w:left w:val="nil"/>
                    <w:bottom w:val="single" w:sz="4" w:space="0" w:color="auto"/>
                    <w:right w:val="single" w:sz="4" w:space="0" w:color="auto"/>
                  </w:tcBorders>
                </w:tcPr>
                <w:p w14:paraId="55A9E84D" w14:textId="213A5D39"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20%</w:t>
                  </w:r>
                </w:p>
              </w:tc>
            </w:tr>
            <w:tr w:rsidR="00ED75CA" w:rsidRPr="00F45CA7" w14:paraId="0AF8F8CE" w14:textId="3B08DE6C"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4BE83"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Jan-23</w:t>
                  </w:r>
                </w:p>
              </w:tc>
              <w:tc>
                <w:tcPr>
                  <w:tcW w:w="0" w:type="auto"/>
                  <w:tcBorders>
                    <w:top w:val="nil"/>
                    <w:left w:val="nil"/>
                    <w:bottom w:val="single" w:sz="4" w:space="0" w:color="auto"/>
                    <w:right w:val="single" w:sz="4" w:space="0" w:color="auto"/>
                  </w:tcBorders>
                  <w:shd w:val="clear" w:color="auto" w:fill="auto"/>
                  <w:noWrap/>
                  <w:vAlign w:val="bottom"/>
                  <w:hideMark/>
                </w:tcPr>
                <w:p w14:paraId="281D66AE"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17%</w:t>
                  </w:r>
                </w:p>
              </w:tc>
              <w:tc>
                <w:tcPr>
                  <w:tcW w:w="0" w:type="auto"/>
                  <w:tcBorders>
                    <w:top w:val="nil"/>
                    <w:left w:val="nil"/>
                    <w:bottom w:val="single" w:sz="4" w:space="0" w:color="auto"/>
                    <w:right w:val="single" w:sz="4" w:space="0" w:color="auto"/>
                  </w:tcBorders>
                </w:tcPr>
                <w:p w14:paraId="4B83F3C9" w14:textId="46E558AF"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16%</w:t>
                  </w:r>
                </w:p>
              </w:tc>
              <w:tc>
                <w:tcPr>
                  <w:tcW w:w="0" w:type="auto"/>
                  <w:tcBorders>
                    <w:top w:val="nil"/>
                    <w:left w:val="nil"/>
                    <w:bottom w:val="single" w:sz="4" w:space="0" w:color="auto"/>
                    <w:right w:val="single" w:sz="4" w:space="0" w:color="auto"/>
                  </w:tcBorders>
                </w:tcPr>
                <w:p w14:paraId="6E3AA8EE" w14:textId="76082E48"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c>
                <w:tcPr>
                  <w:tcW w:w="0" w:type="auto"/>
                  <w:tcBorders>
                    <w:top w:val="nil"/>
                    <w:left w:val="nil"/>
                    <w:bottom w:val="single" w:sz="4" w:space="0" w:color="auto"/>
                    <w:right w:val="single" w:sz="4" w:space="0" w:color="auto"/>
                  </w:tcBorders>
                </w:tcPr>
                <w:p w14:paraId="5C777B96" w14:textId="2133A53E"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21%</w:t>
                  </w:r>
                </w:p>
              </w:tc>
              <w:tc>
                <w:tcPr>
                  <w:tcW w:w="0" w:type="auto"/>
                  <w:tcBorders>
                    <w:top w:val="nil"/>
                    <w:left w:val="nil"/>
                    <w:bottom w:val="single" w:sz="4" w:space="0" w:color="auto"/>
                    <w:right w:val="single" w:sz="4" w:space="0" w:color="auto"/>
                  </w:tcBorders>
                </w:tcPr>
                <w:p w14:paraId="6ECD14B6" w14:textId="4EDC2234"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14%</w:t>
                  </w:r>
                </w:p>
              </w:tc>
            </w:tr>
            <w:tr w:rsidR="00ED75CA" w:rsidRPr="00F45CA7" w14:paraId="35F1E4C6" w14:textId="4C49D803"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6DB747"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Feb-23</w:t>
                  </w:r>
                </w:p>
              </w:tc>
              <w:tc>
                <w:tcPr>
                  <w:tcW w:w="0" w:type="auto"/>
                  <w:tcBorders>
                    <w:top w:val="nil"/>
                    <w:left w:val="nil"/>
                    <w:bottom w:val="single" w:sz="4" w:space="0" w:color="auto"/>
                    <w:right w:val="single" w:sz="4" w:space="0" w:color="auto"/>
                  </w:tcBorders>
                  <w:shd w:val="clear" w:color="auto" w:fill="auto"/>
                  <w:noWrap/>
                  <w:vAlign w:val="bottom"/>
                  <w:hideMark/>
                </w:tcPr>
                <w:p w14:paraId="681CDA5C"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17%</w:t>
                  </w:r>
                </w:p>
              </w:tc>
              <w:tc>
                <w:tcPr>
                  <w:tcW w:w="0" w:type="auto"/>
                  <w:tcBorders>
                    <w:top w:val="nil"/>
                    <w:left w:val="nil"/>
                    <w:bottom w:val="single" w:sz="4" w:space="0" w:color="auto"/>
                    <w:right w:val="single" w:sz="4" w:space="0" w:color="auto"/>
                  </w:tcBorders>
                </w:tcPr>
                <w:p w14:paraId="5C726E67" w14:textId="1CA650C9"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14%</w:t>
                  </w:r>
                </w:p>
              </w:tc>
              <w:tc>
                <w:tcPr>
                  <w:tcW w:w="0" w:type="auto"/>
                  <w:tcBorders>
                    <w:top w:val="nil"/>
                    <w:left w:val="nil"/>
                    <w:bottom w:val="single" w:sz="4" w:space="0" w:color="auto"/>
                    <w:right w:val="single" w:sz="4" w:space="0" w:color="auto"/>
                  </w:tcBorders>
                </w:tcPr>
                <w:p w14:paraId="674873F3" w14:textId="6F9B6E8D"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21%</w:t>
                  </w:r>
                </w:p>
              </w:tc>
              <w:tc>
                <w:tcPr>
                  <w:tcW w:w="0" w:type="auto"/>
                  <w:tcBorders>
                    <w:top w:val="nil"/>
                    <w:left w:val="nil"/>
                    <w:bottom w:val="single" w:sz="4" w:space="0" w:color="auto"/>
                    <w:right w:val="single" w:sz="4" w:space="0" w:color="auto"/>
                  </w:tcBorders>
                </w:tcPr>
                <w:p w14:paraId="457CE265" w14:textId="489D65E4"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25%</w:t>
                  </w:r>
                </w:p>
              </w:tc>
              <w:tc>
                <w:tcPr>
                  <w:tcW w:w="0" w:type="auto"/>
                  <w:tcBorders>
                    <w:top w:val="nil"/>
                    <w:left w:val="nil"/>
                    <w:bottom w:val="single" w:sz="4" w:space="0" w:color="auto"/>
                    <w:right w:val="single" w:sz="4" w:space="0" w:color="auto"/>
                  </w:tcBorders>
                </w:tcPr>
                <w:p w14:paraId="6306230B" w14:textId="40342F3E"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22%</w:t>
                  </w:r>
                </w:p>
              </w:tc>
            </w:tr>
            <w:tr w:rsidR="00ED75CA" w:rsidRPr="00F45CA7" w14:paraId="677097E1" w14:textId="7CDEF7B0"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E2423E"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Mar-23</w:t>
                  </w:r>
                </w:p>
              </w:tc>
              <w:tc>
                <w:tcPr>
                  <w:tcW w:w="0" w:type="auto"/>
                  <w:tcBorders>
                    <w:top w:val="nil"/>
                    <w:left w:val="nil"/>
                    <w:bottom w:val="single" w:sz="4" w:space="0" w:color="auto"/>
                    <w:right w:val="single" w:sz="4" w:space="0" w:color="auto"/>
                  </w:tcBorders>
                  <w:shd w:val="clear" w:color="auto" w:fill="auto"/>
                  <w:noWrap/>
                  <w:vAlign w:val="bottom"/>
                  <w:hideMark/>
                </w:tcPr>
                <w:p w14:paraId="521414D9"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20%</w:t>
                  </w:r>
                </w:p>
              </w:tc>
              <w:tc>
                <w:tcPr>
                  <w:tcW w:w="0" w:type="auto"/>
                  <w:tcBorders>
                    <w:top w:val="nil"/>
                    <w:left w:val="nil"/>
                    <w:bottom w:val="single" w:sz="4" w:space="0" w:color="auto"/>
                    <w:right w:val="single" w:sz="4" w:space="0" w:color="auto"/>
                  </w:tcBorders>
                </w:tcPr>
                <w:p w14:paraId="4D15F80F" w14:textId="62D552FA"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20%</w:t>
                  </w:r>
                </w:p>
              </w:tc>
              <w:tc>
                <w:tcPr>
                  <w:tcW w:w="0" w:type="auto"/>
                  <w:tcBorders>
                    <w:top w:val="nil"/>
                    <w:left w:val="nil"/>
                    <w:bottom w:val="single" w:sz="4" w:space="0" w:color="auto"/>
                    <w:right w:val="single" w:sz="4" w:space="0" w:color="auto"/>
                  </w:tcBorders>
                </w:tcPr>
                <w:p w14:paraId="32E8B53F" w14:textId="699987B3"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c>
                <w:tcPr>
                  <w:tcW w:w="0" w:type="auto"/>
                  <w:tcBorders>
                    <w:top w:val="nil"/>
                    <w:left w:val="nil"/>
                    <w:bottom w:val="single" w:sz="4" w:space="0" w:color="auto"/>
                    <w:right w:val="single" w:sz="4" w:space="0" w:color="auto"/>
                  </w:tcBorders>
                </w:tcPr>
                <w:p w14:paraId="7BA5B964" w14:textId="4D844C2D"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22%</w:t>
                  </w:r>
                </w:p>
              </w:tc>
              <w:tc>
                <w:tcPr>
                  <w:tcW w:w="0" w:type="auto"/>
                  <w:tcBorders>
                    <w:top w:val="nil"/>
                    <w:left w:val="nil"/>
                    <w:bottom w:val="single" w:sz="4" w:space="0" w:color="auto"/>
                    <w:right w:val="single" w:sz="4" w:space="0" w:color="auto"/>
                  </w:tcBorders>
                </w:tcPr>
                <w:p w14:paraId="1FC63E1F" w14:textId="4DE7157F"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20%</w:t>
                  </w:r>
                </w:p>
              </w:tc>
            </w:tr>
            <w:tr w:rsidR="00ED75CA" w:rsidRPr="00F45CA7" w14:paraId="234DABC3" w14:textId="3F3C3AB9" w:rsidTr="00ED75CA">
              <w:trPr>
                <w:trHeight w:val="2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7F84C7" w14:textId="77777777" w:rsidR="00ED75CA" w:rsidRPr="00F45CA7" w:rsidRDefault="00ED75CA" w:rsidP="008335D7">
                  <w:pPr>
                    <w:rPr>
                      <w:rFonts w:ascii="Calibri" w:hAnsi="Calibri" w:cs="Calibri"/>
                      <w:color w:val="000000"/>
                      <w:sz w:val="22"/>
                      <w:szCs w:val="22"/>
                      <w:lang w:eastAsia="en-GB"/>
                    </w:rPr>
                  </w:pPr>
                  <w:r w:rsidRPr="00F45CA7">
                    <w:rPr>
                      <w:rFonts w:ascii="Calibri" w:hAnsi="Calibri" w:cs="Calibri"/>
                      <w:color w:val="000000"/>
                      <w:sz w:val="22"/>
                      <w:szCs w:val="22"/>
                      <w:lang w:eastAsia="en-GB"/>
                    </w:rPr>
                    <w:t>Apr-23</w:t>
                  </w:r>
                </w:p>
              </w:tc>
              <w:tc>
                <w:tcPr>
                  <w:tcW w:w="0" w:type="auto"/>
                  <w:tcBorders>
                    <w:top w:val="nil"/>
                    <w:left w:val="nil"/>
                    <w:bottom w:val="single" w:sz="4" w:space="0" w:color="auto"/>
                    <w:right w:val="single" w:sz="4" w:space="0" w:color="auto"/>
                  </w:tcBorders>
                  <w:shd w:val="clear" w:color="auto" w:fill="auto"/>
                  <w:noWrap/>
                  <w:vAlign w:val="bottom"/>
                  <w:hideMark/>
                </w:tcPr>
                <w:p w14:paraId="6815B1AA" w14:textId="77777777" w:rsidR="00ED75CA" w:rsidRPr="00F45CA7" w:rsidRDefault="00ED75CA" w:rsidP="00F45CA7">
                  <w:pPr>
                    <w:jc w:val="right"/>
                    <w:rPr>
                      <w:rFonts w:ascii="Calibri" w:hAnsi="Calibri" w:cs="Calibri"/>
                      <w:color w:val="000000"/>
                      <w:sz w:val="22"/>
                      <w:szCs w:val="22"/>
                      <w:lang w:eastAsia="en-GB"/>
                    </w:rPr>
                  </w:pPr>
                  <w:r w:rsidRPr="00F45CA7">
                    <w:rPr>
                      <w:rFonts w:ascii="Calibri" w:hAnsi="Calibri" w:cs="Calibri"/>
                      <w:color w:val="000000"/>
                      <w:sz w:val="22"/>
                      <w:szCs w:val="22"/>
                      <w:lang w:eastAsia="en-GB"/>
                    </w:rPr>
                    <w:t>20%</w:t>
                  </w:r>
                </w:p>
              </w:tc>
              <w:tc>
                <w:tcPr>
                  <w:tcW w:w="0" w:type="auto"/>
                  <w:tcBorders>
                    <w:top w:val="nil"/>
                    <w:left w:val="nil"/>
                    <w:bottom w:val="single" w:sz="4" w:space="0" w:color="auto"/>
                    <w:right w:val="single" w:sz="4" w:space="0" w:color="auto"/>
                  </w:tcBorders>
                </w:tcPr>
                <w:p w14:paraId="7328FAFC" w14:textId="00C3CE7C"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17%</w:t>
                  </w:r>
                </w:p>
              </w:tc>
              <w:tc>
                <w:tcPr>
                  <w:tcW w:w="0" w:type="auto"/>
                  <w:tcBorders>
                    <w:top w:val="nil"/>
                    <w:left w:val="nil"/>
                    <w:bottom w:val="single" w:sz="4" w:space="0" w:color="auto"/>
                    <w:right w:val="single" w:sz="4" w:space="0" w:color="auto"/>
                  </w:tcBorders>
                </w:tcPr>
                <w:p w14:paraId="0FF12EA3" w14:textId="1C362D3F" w:rsidR="00ED75CA" w:rsidRPr="00F45CA7"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23%</w:t>
                  </w:r>
                </w:p>
              </w:tc>
              <w:tc>
                <w:tcPr>
                  <w:tcW w:w="0" w:type="auto"/>
                  <w:tcBorders>
                    <w:top w:val="nil"/>
                    <w:left w:val="nil"/>
                    <w:bottom w:val="single" w:sz="4" w:space="0" w:color="auto"/>
                    <w:right w:val="single" w:sz="4" w:space="0" w:color="auto"/>
                  </w:tcBorders>
                </w:tcPr>
                <w:p w14:paraId="15B33629" w14:textId="7CDC9AAA"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34%</w:t>
                  </w:r>
                </w:p>
              </w:tc>
              <w:tc>
                <w:tcPr>
                  <w:tcW w:w="0" w:type="auto"/>
                  <w:tcBorders>
                    <w:top w:val="nil"/>
                    <w:left w:val="nil"/>
                    <w:bottom w:val="single" w:sz="4" w:space="0" w:color="auto"/>
                    <w:right w:val="single" w:sz="4" w:space="0" w:color="auto"/>
                  </w:tcBorders>
                </w:tcPr>
                <w:p w14:paraId="17317F37" w14:textId="15BE6E2B" w:rsidR="00ED75CA" w:rsidRPr="00F45CA7"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r>
            <w:tr w:rsidR="00ED75CA" w:rsidRPr="00F45CA7" w14:paraId="67829924" w14:textId="5FB14670" w:rsidTr="00ED75CA">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2F0B54" w14:textId="0FA101F0" w:rsidR="00ED75CA" w:rsidRPr="00F45CA7" w:rsidRDefault="00ED75CA" w:rsidP="008335D7">
                  <w:pPr>
                    <w:rPr>
                      <w:rFonts w:ascii="Calibri" w:hAnsi="Calibri" w:cs="Calibri"/>
                      <w:color w:val="000000"/>
                      <w:sz w:val="22"/>
                      <w:szCs w:val="22"/>
                      <w:lang w:eastAsia="en-GB"/>
                    </w:rPr>
                  </w:pPr>
                  <w:r>
                    <w:rPr>
                      <w:rFonts w:ascii="Calibri" w:hAnsi="Calibri" w:cs="Calibri"/>
                      <w:color w:val="000000"/>
                      <w:sz w:val="22"/>
                      <w:szCs w:val="22"/>
                      <w:lang w:eastAsia="en-GB"/>
                    </w:rPr>
                    <w:t>May-23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4D26BE9" w14:textId="7A0AC0A8" w:rsidR="00ED75CA" w:rsidRPr="00F45CA7" w:rsidRDefault="00ED75CA"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22%</w:t>
                  </w:r>
                </w:p>
              </w:tc>
              <w:tc>
                <w:tcPr>
                  <w:tcW w:w="0" w:type="auto"/>
                  <w:tcBorders>
                    <w:top w:val="single" w:sz="4" w:space="0" w:color="auto"/>
                    <w:left w:val="nil"/>
                    <w:bottom w:val="single" w:sz="4" w:space="0" w:color="auto"/>
                    <w:right w:val="single" w:sz="4" w:space="0" w:color="auto"/>
                  </w:tcBorders>
                </w:tcPr>
                <w:p w14:paraId="346AD99B" w14:textId="6E30962D" w:rsidR="00ED75CA"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20%</w:t>
                  </w:r>
                </w:p>
              </w:tc>
              <w:tc>
                <w:tcPr>
                  <w:tcW w:w="0" w:type="auto"/>
                  <w:tcBorders>
                    <w:top w:val="single" w:sz="4" w:space="0" w:color="auto"/>
                    <w:left w:val="nil"/>
                    <w:bottom w:val="single" w:sz="4" w:space="0" w:color="auto"/>
                    <w:right w:val="single" w:sz="4" w:space="0" w:color="auto"/>
                  </w:tcBorders>
                </w:tcPr>
                <w:p w14:paraId="610D2695" w14:textId="798E582B" w:rsidR="00ED75CA" w:rsidRDefault="00251485"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21%</w:t>
                  </w:r>
                </w:p>
              </w:tc>
              <w:tc>
                <w:tcPr>
                  <w:tcW w:w="0" w:type="auto"/>
                  <w:tcBorders>
                    <w:top w:val="single" w:sz="4" w:space="0" w:color="auto"/>
                    <w:left w:val="nil"/>
                    <w:bottom w:val="single" w:sz="4" w:space="0" w:color="auto"/>
                    <w:right w:val="single" w:sz="4" w:space="0" w:color="auto"/>
                  </w:tcBorders>
                </w:tcPr>
                <w:p w14:paraId="10646F91" w14:textId="0309AE63" w:rsidR="00ED75CA"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30%</w:t>
                  </w:r>
                </w:p>
              </w:tc>
              <w:tc>
                <w:tcPr>
                  <w:tcW w:w="0" w:type="auto"/>
                  <w:tcBorders>
                    <w:top w:val="single" w:sz="4" w:space="0" w:color="auto"/>
                    <w:left w:val="nil"/>
                    <w:bottom w:val="single" w:sz="4" w:space="0" w:color="auto"/>
                    <w:right w:val="single" w:sz="4" w:space="0" w:color="auto"/>
                  </w:tcBorders>
                </w:tcPr>
                <w:p w14:paraId="7818BB61" w14:textId="54F18876" w:rsidR="00ED75CA" w:rsidRDefault="00C620CE" w:rsidP="00F45CA7">
                  <w:pPr>
                    <w:jc w:val="right"/>
                    <w:rPr>
                      <w:rFonts w:ascii="Calibri" w:hAnsi="Calibri" w:cs="Calibri"/>
                      <w:color w:val="000000"/>
                      <w:sz w:val="22"/>
                      <w:szCs w:val="22"/>
                      <w:lang w:eastAsia="en-GB"/>
                    </w:rPr>
                  </w:pPr>
                  <w:r>
                    <w:rPr>
                      <w:rFonts w:ascii="Calibri" w:hAnsi="Calibri" w:cs="Calibri"/>
                      <w:color w:val="000000"/>
                      <w:sz w:val="22"/>
                      <w:szCs w:val="22"/>
                      <w:lang w:eastAsia="en-GB"/>
                    </w:rPr>
                    <w:t>22%</w:t>
                  </w:r>
                </w:p>
              </w:tc>
            </w:tr>
          </w:tbl>
          <w:p w14:paraId="40AE18F1" w14:textId="77777777" w:rsidR="00192936" w:rsidRDefault="00192936" w:rsidP="00192936"/>
          <w:tbl>
            <w:tblPr>
              <w:tblW w:w="5000" w:type="pct"/>
              <w:tblLook w:val="04A0" w:firstRow="1" w:lastRow="0" w:firstColumn="1" w:lastColumn="0" w:noHBand="0" w:noVBand="1"/>
            </w:tblPr>
            <w:tblGrid>
              <w:gridCol w:w="1037"/>
              <w:gridCol w:w="1160"/>
              <w:gridCol w:w="1586"/>
              <w:gridCol w:w="2384"/>
              <w:gridCol w:w="1494"/>
            </w:tblGrid>
            <w:tr w:rsidR="003119C5" w:rsidRPr="00F45CA7" w14:paraId="6CA61F44" w14:textId="4D67C443" w:rsidTr="008335D7">
              <w:trPr>
                <w:trHeight w:val="292"/>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03676" w14:textId="77777777" w:rsidR="003119C5" w:rsidRPr="00F45CA7" w:rsidRDefault="003119C5" w:rsidP="008335D7">
                  <w:pPr>
                    <w:rPr>
                      <w:rFonts w:ascii="Calibri" w:hAnsi="Calibri" w:cs="Calibri"/>
                      <w:b/>
                      <w:bCs/>
                      <w:color w:val="000000"/>
                      <w:sz w:val="22"/>
                      <w:szCs w:val="22"/>
                      <w:lang w:eastAsia="en-GB"/>
                    </w:rPr>
                  </w:pPr>
                  <w:r w:rsidRPr="00F45CA7">
                    <w:rPr>
                      <w:rFonts w:ascii="Calibri" w:hAnsi="Calibri" w:cs="Calibri"/>
                      <w:b/>
                      <w:bCs/>
                      <w:color w:val="000000"/>
                      <w:sz w:val="22"/>
                      <w:szCs w:val="22"/>
                      <w:lang w:eastAsia="en-GB"/>
                    </w:rPr>
                    <w:t> Month</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03A64FC5" w14:textId="69559517" w:rsidR="003119C5" w:rsidRPr="00F45CA7" w:rsidRDefault="003119C5" w:rsidP="008335D7">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Disabled</w:t>
                  </w:r>
                </w:p>
              </w:tc>
              <w:tc>
                <w:tcPr>
                  <w:tcW w:w="1035" w:type="pct"/>
                  <w:tcBorders>
                    <w:top w:val="single" w:sz="4" w:space="0" w:color="auto"/>
                    <w:left w:val="nil"/>
                    <w:bottom w:val="single" w:sz="4" w:space="0" w:color="auto"/>
                    <w:right w:val="single" w:sz="4" w:space="0" w:color="auto"/>
                  </w:tcBorders>
                </w:tcPr>
                <w:p w14:paraId="1E4EF8A2" w14:textId="14CEBEB7" w:rsidR="003119C5" w:rsidRPr="00F45CA7" w:rsidRDefault="003119C5" w:rsidP="008335D7">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Not disabled</w:t>
                  </w:r>
                </w:p>
              </w:tc>
              <w:tc>
                <w:tcPr>
                  <w:tcW w:w="1556" w:type="pct"/>
                  <w:tcBorders>
                    <w:top w:val="single" w:sz="4" w:space="0" w:color="auto"/>
                    <w:left w:val="nil"/>
                    <w:bottom w:val="single" w:sz="4" w:space="0" w:color="auto"/>
                    <w:right w:val="single" w:sz="4" w:space="0" w:color="auto"/>
                  </w:tcBorders>
                </w:tcPr>
                <w:p w14:paraId="5CE96860" w14:textId="3B347D90" w:rsidR="003119C5" w:rsidRDefault="003119C5" w:rsidP="008335D7">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Working age (18-6</w:t>
                  </w:r>
                  <w:r w:rsidR="008335D7">
                    <w:rPr>
                      <w:rFonts w:ascii="Calibri" w:hAnsi="Calibri" w:cs="Calibri"/>
                      <w:b/>
                      <w:bCs/>
                      <w:color w:val="000000"/>
                      <w:sz w:val="22"/>
                      <w:szCs w:val="22"/>
                      <w:lang w:eastAsia="en-GB"/>
                    </w:rPr>
                    <w:t>4</w:t>
                  </w:r>
                  <w:r>
                    <w:rPr>
                      <w:rFonts w:ascii="Calibri" w:hAnsi="Calibri" w:cs="Calibri"/>
                      <w:b/>
                      <w:bCs/>
                      <w:color w:val="000000"/>
                      <w:sz w:val="22"/>
                      <w:szCs w:val="22"/>
                      <w:lang w:eastAsia="en-GB"/>
                    </w:rPr>
                    <w:t>)</w:t>
                  </w:r>
                </w:p>
              </w:tc>
              <w:tc>
                <w:tcPr>
                  <w:tcW w:w="975" w:type="pct"/>
                  <w:tcBorders>
                    <w:top w:val="single" w:sz="4" w:space="0" w:color="auto"/>
                    <w:left w:val="nil"/>
                    <w:bottom w:val="single" w:sz="4" w:space="0" w:color="auto"/>
                    <w:right w:val="single" w:sz="4" w:space="0" w:color="auto"/>
                  </w:tcBorders>
                </w:tcPr>
                <w:p w14:paraId="20E120F3" w14:textId="41330816" w:rsidR="003119C5" w:rsidRDefault="00AD2A74" w:rsidP="008335D7">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65</w:t>
                  </w:r>
                  <w:r w:rsidR="008335D7">
                    <w:rPr>
                      <w:rFonts w:ascii="Calibri" w:hAnsi="Calibri" w:cs="Calibri"/>
                      <w:b/>
                      <w:bCs/>
                      <w:color w:val="000000"/>
                      <w:sz w:val="22"/>
                      <w:szCs w:val="22"/>
                      <w:lang w:eastAsia="en-GB"/>
                    </w:rPr>
                    <w:t xml:space="preserve"> and over</w:t>
                  </w:r>
                </w:p>
              </w:tc>
            </w:tr>
            <w:tr w:rsidR="00171910" w:rsidRPr="00F45CA7" w14:paraId="6AB51663" w14:textId="77B9BF40"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3C0A6A64"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Jan-22</w:t>
                  </w:r>
                </w:p>
              </w:tc>
              <w:tc>
                <w:tcPr>
                  <w:tcW w:w="757" w:type="pct"/>
                  <w:tcBorders>
                    <w:top w:val="nil"/>
                    <w:left w:val="nil"/>
                    <w:bottom w:val="single" w:sz="4" w:space="0" w:color="auto"/>
                    <w:right w:val="single" w:sz="4" w:space="0" w:color="auto"/>
                  </w:tcBorders>
                  <w:shd w:val="clear" w:color="auto" w:fill="auto"/>
                  <w:noWrap/>
                  <w:vAlign w:val="bottom"/>
                </w:tcPr>
                <w:p w14:paraId="76A04D60" w14:textId="4D18426F"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23%</w:t>
                  </w:r>
                </w:p>
              </w:tc>
              <w:tc>
                <w:tcPr>
                  <w:tcW w:w="1035" w:type="pct"/>
                  <w:tcBorders>
                    <w:top w:val="nil"/>
                    <w:left w:val="nil"/>
                    <w:bottom w:val="single" w:sz="4" w:space="0" w:color="auto"/>
                    <w:right w:val="single" w:sz="4" w:space="0" w:color="auto"/>
                  </w:tcBorders>
                </w:tcPr>
                <w:p w14:paraId="7EC54DEA" w14:textId="2906BA78"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9%</w:t>
                  </w:r>
                </w:p>
              </w:tc>
              <w:tc>
                <w:tcPr>
                  <w:tcW w:w="1556" w:type="pct"/>
                  <w:tcBorders>
                    <w:top w:val="nil"/>
                    <w:left w:val="nil"/>
                    <w:bottom w:val="single" w:sz="4" w:space="0" w:color="auto"/>
                    <w:right w:val="single" w:sz="4" w:space="0" w:color="auto"/>
                  </w:tcBorders>
                </w:tcPr>
                <w:p w14:paraId="5C72ACFA" w14:textId="4C8DD069"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13%</w:t>
                  </w:r>
                </w:p>
              </w:tc>
              <w:tc>
                <w:tcPr>
                  <w:tcW w:w="975" w:type="pct"/>
                  <w:tcBorders>
                    <w:top w:val="nil"/>
                    <w:left w:val="nil"/>
                    <w:bottom w:val="single" w:sz="4" w:space="0" w:color="auto"/>
                    <w:right w:val="single" w:sz="4" w:space="0" w:color="auto"/>
                  </w:tcBorders>
                </w:tcPr>
                <w:p w14:paraId="2BEAE433" w14:textId="2FB51091"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9%</w:t>
                  </w:r>
                </w:p>
              </w:tc>
            </w:tr>
            <w:tr w:rsidR="00171910" w:rsidRPr="00F45CA7" w14:paraId="4999A649" w14:textId="6D414C5F"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4028D72A"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Feb-22</w:t>
                  </w:r>
                </w:p>
              </w:tc>
              <w:tc>
                <w:tcPr>
                  <w:tcW w:w="757" w:type="pct"/>
                  <w:tcBorders>
                    <w:top w:val="nil"/>
                    <w:left w:val="nil"/>
                    <w:bottom w:val="single" w:sz="4" w:space="0" w:color="auto"/>
                    <w:right w:val="single" w:sz="4" w:space="0" w:color="auto"/>
                  </w:tcBorders>
                  <w:shd w:val="clear" w:color="auto" w:fill="auto"/>
                  <w:noWrap/>
                  <w:vAlign w:val="bottom"/>
                </w:tcPr>
                <w:p w14:paraId="79D3421E" w14:textId="3EC8D406"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27%</w:t>
                  </w:r>
                </w:p>
              </w:tc>
              <w:tc>
                <w:tcPr>
                  <w:tcW w:w="1035" w:type="pct"/>
                  <w:tcBorders>
                    <w:top w:val="nil"/>
                    <w:left w:val="nil"/>
                    <w:bottom w:val="single" w:sz="4" w:space="0" w:color="auto"/>
                    <w:right w:val="single" w:sz="4" w:space="0" w:color="auto"/>
                  </w:tcBorders>
                </w:tcPr>
                <w:p w14:paraId="389C6D43" w14:textId="1437BB7F"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10%</w:t>
                  </w:r>
                </w:p>
              </w:tc>
              <w:tc>
                <w:tcPr>
                  <w:tcW w:w="1556" w:type="pct"/>
                  <w:tcBorders>
                    <w:top w:val="nil"/>
                    <w:left w:val="nil"/>
                    <w:bottom w:val="single" w:sz="4" w:space="0" w:color="auto"/>
                    <w:right w:val="single" w:sz="4" w:space="0" w:color="auto"/>
                  </w:tcBorders>
                </w:tcPr>
                <w:p w14:paraId="0B4BDEC1" w14:textId="2840890B"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16%</w:t>
                  </w:r>
                </w:p>
              </w:tc>
              <w:tc>
                <w:tcPr>
                  <w:tcW w:w="975" w:type="pct"/>
                  <w:tcBorders>
                    <w:top w:val="nil"/>
                    <w:left w:val="nil"/>
                    <w:bottom w:val="single" w:sz="4" w:space="0" w:color="auto"/>
                    <w:right w:val="single" w:sz="4" w:space="0" w:color="auto"/>
                  </w:tcBorders>
                </w:tcPr>
                <w:p w14:paraId="7D1BBC2A" w14:textId="0BBCE732"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7%</w:t>
                  </w:r>
                </w:p>
              </w:tc>
            </w:tr>
            <w:tr w:rsidR="00171910" w:rsidRPr="00F45CA7" w14:paraId="3FE66E52" w14:textId="2C0E8794"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268D28D8"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Apr-22</w:t>
                  </w:r>
                </w:p>
              </w:tc>
              <w:tc>
                <w:tcPr>
                  <w:tcW w:w="757" w:type="pct"/>
                  <w:tcBorders>
                    <w:top w:val="nil"/>
                    <w:left w:val="nil"/>
                    <w:bottom w:val="single" w:sz="4" w:space="0" w:color="auto"/>
                    <w:right w:val="single" w:sz="4" w:space="0" w:color="auto"/>
                  </w:tcBorders>
                  <w:shd w:val="clear" w:color="auto" w:fill="auto"/>
                  <w:noWrap/>
                  <w:vAlign w:val="bottom"/>
                </w:tcPr>
                <w:p w14:paraId="1064B6A5" w14:textId="10C6FD27"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26%</w:t>
                  </w:r>
                </w:p>
              </w:tc>
              <w:tc>
                <w:tcPr>
                  <w:tcW w:w="1035" w:type="pct"/>
                  <w:tcBorders>
                    <w:top w:val="nil"/>
                    <w:left w:val="nil"/>
                    <w:bottom w:val="single" w:sz="4" w:space="0" w:color="auto"/>
                    <w:right w:val="single" w:sz="4" w:space="0" w:color="auto"/>
                  </w:tcBorders>
                </w:tcPr>
                <w:p w14:paraId="02BF990F" w14:textId="6D2F8706"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10%</w:t>
                  </w:r>
                </w:p>
              </w:tc>
              <w:tc>
                <w:tcPr>
                  <w:tcW w:w="1556" w:type="pct"/>
                  <w:tcBorders>
                    <w:top w:val="nil"/>
                    <w:left w:val="nil"/>
                    <w:bottom w:val="single" w:sz="4" w:space="0" w:color="auto"/>
                    <w:right w:val="single" w:sz="4" w:space="0" w:color="auto"/>
                  </w:tcBorders>
                </w:tcPr>
                <w:p w14:paraId="28E673F4" w14:textId="78278B0A"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14%</w:t>
                  </w:r>
                </w:p>
              </w:tc>
              <w:tc>
                <w:tcPr>
                  <w:tcW w:w="975" w:type="pct"/>
                  <w:tcBorders>
                    <w:top w:val="nil"/>
                    <w:left w:val="nil"/>
                    <w:bottom w:val="single" w:sz="4" w:space="0" w:color="auto"/>
                    <w:right w:val="single" w:sz="4" w:space="0" w:color="auto"/>
                  </w:tcBorders>
                </w:tcPr>
                <w:p w14:paraId="4473F708" w14:textId="52FEF49C"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13%</w:t>
                  </w:r>
                </w:p>
              </w:tc>
            </w:tr>
            <w:tr w:rsidR="00171910" w:rsidRPr="00F45CA7" w14:paraId="49466DA6" w14:textId="2FD8C593"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06231F7A"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May-22</w:t>
                  </w:r>
                </w:p>
              </w:tc>
              <w:tc>
                <w:tcPr>
                  <w:tcW w:w="757" w:type="pct"/>
                  <w:tcBorders>
                    <w:top w:val="nil"/>
                    <w:left w:val="nil"/>
                    <w:bottom w:val="single" w:sz="4" w:space="0" w:color="auto"/>
                    <w:right w:val="single" w:sz="4" w:space="0" w:color="auto"/>
                  </w:tcBorders>
                  <w:shd w:val="clear" w:color="auto" w:fill="auto"/>
                  <w:noWrap/>
                  <w:vAlign w:val="bottom"/>
                </w:tcPr>
                <w:p w14:paraId="0C7B3D14" w14:textId="7A87632A"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26%</w:t>
                  </w:r>
                </w:p>
              </w:tc>
              <w:tc>
                <w:tcPr>
                  <w:tcW w:w="1035" w:type="pct"/>
                  <w:tcBorders>
                    <w:top w:val="nil"/>
                    <w:left w:val="nil"/>
                    <w:bottom w:val="single" w:sz="4" w:space="0" w:color="auto"/>
                    <w:right w:val="single" w:sz="4" w:space="0" w:color="auto"/>
                  </w:tcBorders>
                </w:tcPr>
                <w:p w14:paraId="6EE2CCC1" w14:textId="1B1B4B24"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11%</w:t>
                  </w:r>
                </w:p>
              </w:tc>
              <w:tc>
                <w:tcPr>
                  <w:tcW w:w="1556" w:type="pct"/>
                  <w:tcBorders>
                    <w:top w:val="nil"/>
                    <w:left w:val="nil"/>
                    <w:bottom w:val="single" w:sz="4" w:space="0" w:color="auto"/>
                    <w:right w:val="single" w:sz="4" w:space="0" w:color="auto"/>
                  </w:tcBorders>
                </w:tcPr>
                <w:p w14:paraId="5C89A5AB" w14:textId="4A8FDE3B"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16%</w:t>
                  </w:r>
                </w:p>
              </w:tc>
              <w:tc>
                <w:tcPr>
                  <w:tcW w:w="975" w:type="pct"/>
                  <w:tcBorders>
                    <w:top w:val="nil"/>
                    <w:left w:val="nil"/>
                    <w:bottom w:val="single" w:sz="4" w:space="0" w:color="auto"/>
                    <w:right w:val="single" w:sz="4" w:space="0" w:color="auto"/>
                  </w:tcBorders>
                </w:tcPr>
                <w:p w14:paraId="2A205FD0" w14:textId="1130668A"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9%</w:t>
                  </w:r>
                </w:p>
              </w:tc>
            </w:tr>
            <w:tr w:rsidR="00171910" w:rsidRPr="00F45CA7" w14:paraId="498113C2" w14:textId="37086603"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2DE9432F"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Jun-22</w:t>
                  </w:r>
                </w:p>
              </w:tc>
              <w:tc>
                <w:tcPr>
                  <w:tcW w:w="757" w:type="pct"/>
                  <w:tcBorders>
                    <w:top w:val="nil"/>
                    <w:left w:val="nil"/>
                    <w:bottom w:val="single" w:sz="4" w:space="0" w:color="auto"/>
                    <w:right w:val="single" w:sz="4" w:space="0" w:color="auto"/>
                  </w:tcBorders>
                  <w:shd w:val="clear" w:color="auto" w:fill="auto"/>
                  <w:noWrap/>
                  <w:vAlign w:val="bottom"/>
                </w:tcPr>
                <w:p w14:paraId="68C33FA8" w14:textId="63B37B3B"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35%</w:t>
                  </w:r>
                </w:p>
              </w:tc>
              <w:tc>
                <w:tcPr>
                  <w:tcW w:w="1035" w:type="pct"/>
                  <w:tcBorders>
                    <w:top w:val="nil"/>
                    <w:left w:val="nil"/>
                    <w:bottom w:val="single" w:sz="4" w:space="0" w:color="auto"/>
                    <w:right w:val="single" w:sz="4" w:space="0" w:color="auto"/>
                  </w:tcBorders>
                </w:tcPr>
                <w:p w14:paraId="256E0B37" w14:textId="41E4B3F7"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12%</w:t>
                  </w:r>
                </w:p>
              </w:tc>
              <w:tc>
                <w:tcPr>
                  <w:tcW w:w="1556" w:type="pct"/>
                  <w:tcBorders>
                    <w:top w:val="nil"/>
                    <w:left w:val="nil"/>
                    <w:bottom w:val="single" w:sz="4" w:space="0" w:color="auto"/>
                    <w:right w:val="single" w:sz="4" w:space="0" w:color="auto"/>
                  </w:tcBorders>
                </w:tcPr>
                <w:p w14:paraId="111364E3" w14:textId="418AC7BA"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19%</w:t>
                  </w:r>
                </w:p>
              </w:tc>
              <w:tc>
                <w:tcPr>
                  <w:tcW w:w="975" w:type="pct"/>
                  <w:tcBorders>
                    <w:top w:val="nil"/>
                    <w:left w:val="nil"/>
                    <w:bottom w:val="single" w:sz="4" w:space="0" w:color="auto"/>
                    <w:right w:val="single" w:sz="4" w:space="0" w:color="auto"/>
                  </w:tcBorders>
                </w:tcPr>
                <w:p w14:paraId="583E4473" w14:textId="6A7B0814"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9%</w:t>
                  </w:r>
                </w:p>
              </w:tc>
            </w:tr>
            <w:tr w:rsidR="00171910" w:rsidRPr="00F45CA7" w14:paraId="1BA5E6D4" w14:textId="67D4D4EE"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77DFCFFA"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Jul-22</w:t>
                  </w:r>
                </w:p>
              </w:tc>
              <w:tc>
                <w:tcPr>
                  <w:tcW w:w="757" w:type="pct"/>
                  <w:tcBorders>
                    <w:top w:val="nil"/>
                    <w:left w:val="nil"/>
                    <w:bottom w:val="single" w:sz="4" w:space="0" w:color="auto"/>
                    <w:right w:val="single" w:sz="4" w:space="0" w:color="auto"/>
                  </w:tcBorders>
                  <w:shd w:val="clear" w:color="auto" w:fill="auto"/>
                  <w:noWrap/>
                  <w:vAlign w:val="bottom"/>
                </w:tcPr>
                <w:p w14:paraId="603AB1E3" w14:textId="6405154E"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31%</w:t>
                  </w:r>
                </w:p>
              </w:tc>
              <w:tc>
                <w:tcPr>
                  <w:tcW w:w="1035" w:type="pct"/>
                  <w:tcBorders>
                    <w:top w:val="nil"/>
                    <w:left w:val="nil"/>
                    <w:bottom w:val="single" w:sz="4" w:space="0" w:color="auto"/>
                    <w:right w:val="single" w:sz="4" w:space="0" w:color="auto"/>
                  </w:tcBorders>
                </w:tcPr>
                <w:p w14:paraId="46C74C46" w14:textId="29F2C30E"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15%</w:t>
                  </w:r>
                </w:p>
              </w:tc>
              <w:tc>
                <w:tcPr>
                  <w:tcW w:w="1556" w:type="pct"/>
                  <w:tcBorders>
                    <w:top w:val="nil"/>
                    <w:left w:val="nil"/>
                    <w:bottom w:val="single" w:sz="4" w:space="0" w:color="auto"/>
                    <w:right w:val="single" w:sz="4" w:space="0" w:color="auto"/>
                  </w:tcBorders>
                </w:tcPr>
                <w:p w14:paraId="3EBFF577" w14:textId="350DB201"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20%</w:t>
                  </w:r>
                </w:p>
              </w:tc>
              <w:tc>
                <w:tcPr>
                  <w:tcW w:w="975" w:type="pct"/>
                  <w:tcBorders>
                    <w:top w:val="nil"/>
                    <w:left w:val="nil"/>
                    <w:bottom w:val="single" w:sz="4" w:space="0" w:color="auto"/>
                    <w:right w:val="single" w:sz="4" w:space="0" w:color="auto"/>
                  </w:tcBorders>
                </w:tcPr>
                <w:p w14:paraId="6AF9908A" w14:textId="6B522897"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9%</w:t>
                  </w:r>
                </w:p>
              </w:tc>
            </w:tr>
            <w:tr w:rsidR="00171910" w:rsidRPr="00F45CA7" w14:paraId="19FDF92C" w14:textId="032AF56C"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469502F8"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Aug-22</w:t>
                  </w:r>
                </w:p>
              </w:tc>
              <w:tc>
                <w:tcPr>
                  <w:tcW w:w="757" w:type="pct"/>
                  <w:tcBorders>
                    <w:top w:val="nil"/>
                    <w:left w:val="nil"/>
                    <w:bottom w:val="single" w:sz="4" w:space="0" w:color="auto"/>
                    <w:right w:val="single" w:sz="4" w:space="0" w:color="auto"/>
                  </w:tcBorders>
                  <w:shd w:val="clear" w:color="auto" w:fill="auto"/>
                  <w:noWrap/>
                  <w:vAlign w:val="bottom"/>
                </w:tcPr>
                <w:p w14:paraId="5D9FC786" w14:textId="28D3E083"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32%</w:t>
                  </w:r>
                </w:p>
              </w:tc>
              <w:tc>
                <w:tcPr>
                  <w:tcW w:w="1035" w:type="pct"/>
                  <w:tcBorders>
                    <w:top w:val="nil"/>
                    <w:left w:val="nil"/>
                    <w:bottom w:val="single" w:sz="4" w:space="0" w:color="auto"/>
                    <w:right w:val="single" w:sz="4" w:space="0" w:color="auto"/>
                  </w:tcBorders>
                </w:tcPr>
                <w:p w14:paraId="55B63AF1" w14:textId="17BC24CF"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15%</w:t>
                  </w:r>
                </w:p>
              </w:tc>
              <w:tc>
                <w:tcPr>
                  <w:tcW w:w="1556" w:type="pct"/>
                  <w:tcBorders>
                    <w:top w:val="nil"/>
                    <w:left w:val="nil"/>
                    <w:bottom w:val="single" w:sz="4" w:space="0" w:color="auto"/>
                    <w:right w:val="single" w:sz="4" w:space="0" w:color="auto"/>
                  </w:tcBorders>
                </w:tcPr>
                <w:p w14:paraId="4ACD33F4" w14:textId="035D5CB9"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21%</w:t>
                  </w:r>
                </w:p>
              </w:tc>
              <w:tc>
                <w:tcPr>
                  <w:tcW w:w="975" w:type="pct"/>
                  <w:tcBorders>
                    <w:top w:val="nil"/>
                    <w:left w:val="nil"/>
                    <w:bottom w:val="single" w:sz="4" w:space="0" w:color="auto"/>
                    <w:right w:val="single" w:sz="4" w:space="0" w:color="auto"/>
                  </w:tcBorders>
                </w:tcPr>
                <w:p w14:paraId="2215EA4E" w14:textId="2B06C68E"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11%</w:t>
                  </w:r>
                </w:p>
              </w:tc>
            </w:tr>
            <w:tr w:rsidR="00171910" w:rsidRPr="00F45CA7" w14:paraId="554042FC" w14:textId="3DCA8369"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3F4CC5DB"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Sep-22</w:t>
                  </w:r>
                </w:p>
              </w:tc>
              <w:tc>
                <w:tcPr>
                  <w:tcW w:w="757" w:type="pct"/>
                  <w:tcBorders>
                    <w:top w:val="nil"/>
                    <w:left w:val="nil"/>
                    <w:bottom w:val="single" w:sz="4" w:space="0" w:color="auto"/>
                    <w:right w:val="single" w:sz="4" w:space="0" w:color="auto"/>
                  </w:tcBorders>
                  <w:shd w:val="clear" w:color="auto" w:fill="auto"/>
                  <w:noWrap/>
                  <w:vAlign w:val="bottom"/>
                </w:tcPr>
                <w:p w14:paraId="7F4F3739" w14:textId="149164AE"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29%</w:t>
                  </w:r>
                </w:p>
              </w:tc>
              <w:tc>
                <w:tcPr>
                  <w:tcW w:w="1035" w:type="pct"/>
                  <w:tcBorders>
                    <w:top w:val="nil"/>
                    <w:left w:val="nil"/>
                    <w:bottom w:val="single" w:sz="4" w:space="0" w:color="auto"/>
                    <w:right w:val="single" w:sz="4" w:space="0" w:color="auto"/>
                  </w:tcBorders>
                </w:tcPr>
                <w:p w14:paraId="1D068FA7" w14:textId="1FC697F5"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17%</w:t>
                  </w:r>
                </w:p>
              </w:tc>
              <w:tc>
                <w:tcPr>
                  <w:tcW w:w="1556" w:type="pct"/>
                  <w:tcBorders>
                    <w:top w:val="nil"/>
                    <w:left w:val="nil"/>
                    <w:bottom w:val="single" w:sz="4" w:space="0" w:color="auto"/>
                    <w:right w:val="single" w:sz="4" w:space="0" w:color="auto"/>
                  </w:tcBorders>
                </w:tcPr>
                <w:p w14:paraId="17455C5C" w14:textId="05F7A7AB"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22%</w:t>
                  </w:r>
                </w:p>
              </w:tc>
              <w:tc>
                <w:tcPr>
                  <w:tcW w:w="975" w:type="pct"/>
                  <w:tcBorders>
                    <w:top w:val="nil"/>
                    <w:left w:val="nil"/>
                    <w:bottom w:val="single" w:sz="4" w:space="0" w:color="auto"/>
                    <w:right w:val="single" w:sz="4" w:space="0" w:color="auto"/>
                  </w:tcBorders>
                </w:tcPr>
                <w:p w14:paraId="1D203228" w14:textId="455BB98F"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11%</w:t>
                  </w:r>
                </w:p>
              </w:tc>
            </w:tr>
            <w:tr w:rsidR="00171910" w:rsidRPr="00F45CA7" w14:paraId="5CA5D09E" w14:textId="7730E84B"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1D56A0AE"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Oct-22</w:t>
                  </w:r>
                </w:p>
              </w:tc>
              <w:tc>
                <w:tcPr>
                  <w:tcW w:w="757" w:type="pct"/>
                  <w:tcBorders>
                    <w:top w:val="nil"/>
                    <w:left w:val="nil"/>
                    <w:bottom w:val="single" w:sz="4" w:space="0" w:color="auto"/>
                    <w:right w:val="single" w:sz="4" w:space="0" w:color="auto"/>
                  </w:tcBorders>
                  <w:shd w:val="clear" w:color="auto" w:fill="auto"/>
                  <w:noWrap/>
                  <w:vAlign w:val="bottom"/>
                </w:tcPr>
                <w:p w14:paraId="1F5EF29A" w14:textId="08EED638"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27%</w:t>
                  </w:r>
                </w:p>
              </w:tc>
              <w:tc>
                <w:tcPr>
                  <w:tcW w:w="1035" w:type="pct"/>
                  <w:tcBorders>
                    <w:top w:val="nil"/>
                    <w:left w:val="nil"/>
                    <w:bottom w:val="single" w:sz="4" w:space="0" w:color="auto"/>
                    <w:right w:val="single" w:sz="4" w:space="0" w:color="auto"/>
                  </w:tcBorders>
                </w:tcPr>
                <w:p w14:paraId="188DCB0D" w14:textId="7C0EABAA"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15%</w:t>
                  </w:r>
                </w:p>
              </w:tc>
              <w:tc>
                <w:tcPr>
                  <w:tcW w:w="1556" w:type="pct"/>
                  <w:tcBorders>
                    <w:top w:val="nil"/>
                    <w:left w:val="nil"/>
                    <w:bottom w:val="single" w:sz="4" w:space="0" w:color="auto"/>
                    <w:right w:val="single" w:sz="4" w:space="0" w:color="auto"/>
                  </w:tcBorders>
                </w:tcPr>
                <w:p w14:paraId="032CB37C" w14:textId="3FEA8CC1"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20%</w:t>
                  </w:r>
                </w:p>
              </w:tc>
              <w:tc>
                <w:tcPr>
                  <w:tcW w:w="975" w:type="pct"/>
                  <w:tcBorders>
                    <w:top w:val="nil"/>
                    <w:left w:val="nil"/>
                    <w:bottom w:val="single" w:sz="4" w:space="0" w:color="auto"/>
                    <w:right w:val="single" w:sz="4" w:space="0" w:color="auto"/>
                  </w:tcBorders>
                </w:tcPr>
                <w:p w14:paraId="2A4C7531" w14:textId="7964DC35"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8%</w:t>
                  </w:r>
                </w:p>
              </w:tc>
            </w:tr>
            <w:tr w:rsidR="00171910" w:rsidRPr="00F45CA7" w14:paraId="73BF668C" w14:textId="52389AA9"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604112F7"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Nov-22</w:t>
                  </w:r>
                </w:p>
              </w:tc>
              <w:tc>
                <w:tcPr>
                  <w:tcW w:w="757" w:type="pct"/>
                  <w:tcBorders>
                    <w:top w:val="nil"/>
                    <w:left w:val="nil"/>
                    <w:bottom w:val="single" w:sz="4" w:space="0" w:color="auto"/>
                    <w:right w:val="single" w:sz="4" w:space="0" w:color="auto"/>
                  </w:tcBorders>
                  <w:shd w:val="clear" w:color="auto" w:fill="auto"/>
                  <w:noWrap/>
                  <w:vAlign w:val="bottom"/>
                </w:tcPr>
                <w:p w14:paraId="3B817834" w14:textId="1BDBFD6A"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34%</w:t>
                  </w:r>
                </w:p>
              </w:tc>
              <w:tc>
                <w:tcPr>
                  <w:tcW w:w="1035" w:type="pct"/>
                  <w:tcBorders>
                    <w:top w:val="nil"/>
                    <w:left w:val="nil"/>
                    <w:bottom w:val="single" w:sz="4" w:space="0" w:color="auto"/>
                    <w:right w:val="single" w:sz="4" w:space="0" w:color="auto"/>
                  </w:tcBorders>
                </w:tcPr>
                <w:p w14:paraId="70ED40FF" w14:textId="6D8FB1DC"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14%</w:t>
                  </w:r>
                </w:p>
              </w:tc>
              <w:tc>
                <w:tcPr>
                  <w:tcW w:w="1556" w:type="pct"/>
                  <w:tcBorders>
                    <w:top w:val="nil"/>
                    <w:left w:val="nil"/>
                    <w:bottom w:val="single" w:sz="4" w:space="0" w:color="auto"/>
                    <w:right w:val="single" w:sz="4" w:space="0" w:color="auto"/>
                  </w:tcBorders>
                </w:tcPr>
                <w:p w14:paraId="270B86BC" w14:textId="74B88A4E"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21%</w:t>
                  </w:r>
                </w:p>
              </w:tc>
              <w:tc>
                <w:tcPr>
                  <w:tcW w:w="975" w:type="pct"/>
                  <w:tcBorders>
                    <w:top w:val="nil"/>
                    <w:left w:val="nil"/>
                    <w:bottom w:val="single" w:sz="4" w:space="0" w:color="auto"/>
                    <w:right w:val="single" w:sz="4" w:space="0" w:color="auto"/>
                  </w:tcBorders>
                </w:tcPr>
                <w:p w14:paraId="609238A2" w14:textId="73C3C38A"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10%</w:t>
                  </w:r>
                </w:p>
              </w:tc>
            </w:tr>
            <w:tr w:rsidR="00171910" w:rsidRPr="00F45CA7" w14:paraId="630CC6D2" w14:textId="649386A0"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10CE0B2A"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Dec-22</w:t>
                  </w:r>
                </w:p>
              </w:tc>
              <w:tc>
                <w:tcPr>
                  <w:tcW w:w="757" w:type="pct"/>
                  <w:tcBorders>
                    <w:top w:val="nil"/>
                    <w:left w:val="nil"/>
                    <w:bottom w:val="single" w:sz="4" w:space="0" w:color="auto"/>
                    <w:right w:val="single" w:sz="4" w:space="0" w:color="auto"/>
                  </w:tcBorders>
                  <w:shd w:val="clear" w:color="auto" w:fill="auto"/>
                  <w:noWrap/>
                  <w:vAlign w:val="bottom"/>
                </w:tcPr>
                <w:p w14:paraId="4B8EF8F0" w14:textId="58EA8EFB"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32%</w:t>
                  </w:r>
                </w:p>
              </w:tc>
              <w:tc>
                <w:tcPr>
                  <w:tcW w:w="1035" w:type="pct"/>
                  <w:tcBorders>
                    <w:top w:val="nil"/>
                    <w:left w:val="nil"/>
                    <w:bottom w:val="single" w:sz="4" w:space="0" w:color="auto"/>
                    <w:right w:val="single" w:sz="4" w:space="0" w:color="auto"/>
                  </w:tcBorders>
                </w:tcPr>
                <w:p w14:paraId="46F0EF3F" w14:textId="6B913BAB"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15%</w:t>
                  </w:r>
                </w:p>
              </w:tc>
              <w:tc>
                <w:tcPr>
                  <w:tcW w:w="1556" w:type="pct"/>
                  <w:tcBorders>
                    <w:top w:val="nil"/>
                    <w:left w:val="nil"/>
                    <w:bottom w:val="single" w:sz="4" w:space="0" w:color="auto"/>
                    <w:right w:val="single" w:sz="4" w:space="0" w:color="auto"/>
                  </w:tcBorders>
                </w:tcPr>
                <w:p w14:paraId="2EC70EB7" w14:textId="5B2ED018"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20%</w:t>
                  </w:r>
                </w:p>
              </w:tc>
              <w:tc>
                <w:tcPr>
                  <w:tcW w:w="975" w:type="pct"/>
                  <w:tcBorders>
                    <w:top w:val="nil"/>
                    <w:left w:val="nil"/>
                    <w:bottom w:val="single" w:sz="4" w:space="0" w:color="auto"/>
                    <w:right w:val="single" w:sz="4" w:space="0" w:color="auto"/>
                  </w:tcBorders>
                </w:tcPr>
                <w:p w14:paraId="0AA097EC" w14:textId="39DD082A"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16%</w:t>
                  </w:r>
                </w:p>
              </w:tc>
            </w:tr>
            <w:tr w:rsidR="00171910" w:rsidRPr="00F45CA7" w14:paraId="04B0C4D1" w14:textId="4DF0EC82"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7C346477"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Jan-23</w:t>
                  </w:r>
                </w:p>
              </w:tc>
              <w:tc>
                <w:tcPr>
                  <w:tcW w:w="757" w:type="pct"/>
                  <w:tcBorders>
                    <w:top w:val="nil"/>
                    <w:left w:val="nil"/>
                    <w:bottom w:val="single" w:sz="4" w:space="0" w:color="auto"/>
                    <w:right w:val="single" w:sz="4" w:space="0" w:color="auto"/>
                  </w:tcBorders>
                  <w:shd w:val="clear" w:color="auto" w:fill="auto"/>
                  <w:noWrap/>
                  <w:vAlign w:val="bottom"/>
                </w:tcPr>
                <w:p w14:paraId="00FF24F1" w14:textId="43EB0AB5"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29%</w:t>
                  </w:r>
                </w:p>
              </w:tc>
              <w:tc>
                <w:tcPr>
                  <w:tcW w:w="1035" w:type="pct"/>
                  <w:tcBorders>
                    <w:top w:val="nil"/>
                    <w:left w:val="nil"/>
                    <w:bottom w:val="single" w:sz="4" w:space="0" w:color="auto"/>
                    <w:right w:val="single" w:sz="4" w:space="0" w:color="auto"/>
                  </w:tcBorders>
                </w:tcPr>
                <w:p w14:paraId="5738E0D4" w14:textId="021496B9"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13%</w:t>
                  </w:r>
                </w:p>
              </w:tc>
              <w:tc>
                <w:tcPr>
                  <w:tcW w:w="1556" w:type="pct"/>
                  <w:tcBorders>
                    <w:top w:val="nil"/>
                    <w:left w:val="nil"/>
                    <w:bottom w:val="single" w:sz="4" w:space="0" w:color="auto"/>
                    <w:right w:val="single" w:sz="4" w:space="0" w:color="auto"/>
                  </w:tcBorders>
                </w:tcPr>
                <w:p w14:paraId="117FDB3A" w14:textId="5B024BC4"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18%</w:t>
                  </w:r>
                </w:p>
              </w:tc>
              <w:tc>
                <w:tcPr>
                  <w:tcW w:w="975" w:type="pct"/>
                  <w:tcBorders>
                    <w:top w:val="nil"/>
                    <w:left w:val="nil"/>
                    <w:bottom w:val="single" w:sz="4" w:space="0" w:color="auto"/>
                    <w:right w:val="single" w:sz="4" w:space="0" w:color="auto"/>
                  </w:tcBorders>
                </w:tcPr>
                <w:p w14:paraId="2EAE24C6" w14:textId="5A6B7FA1"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12%</w:t>
                  </w:r>
                </w:p>
              </w:tc>
            </w:tr>
            <w:tr w:rsidR="00171910" w:rsidRPr="00F45CA7" w14:paraId="06588D97" w14:textId="69C588D5"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0C7B28EC"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Feb-23</w:t>
                  </w:r>
                </w:p>
              </w:tc>
              <w:tc>
                <w:tcPr>
                  <w:tcW w:w="757" w:type="pct"/>
                  <w:tcBorders>
                    <w:top w:val="nil"/>
                    <w:left w:val="nil"/>
                    <w:bottom w:val="single" w:sz="4" w:space="0" w:color="auto"/>
                    <w:right w:val="single" w:sz="4" w:space="0" w:color="auto"/>
                  </w:tcBorders>
                  <w:shd w:val="clear" w:color="auto" w:fill="auto"/>
                  <w:noWrap/>
                  <w:vAlign w:val="bottom"/>
                </w:tcPr>
                <w:p w14:paraId="6BDD928A" w14:textId="3879C8CD"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30%</w:t>
                  </w:r>
                </w:p>
              </w:tc>
              <w:tc>
                <w:tcPr>
                  <w:tcW w:w="1035" w:type="pct"/>
                  <w:tcBorders>
                    <w:top w:val="nil"/>
                    <w:left w:val="nil"/>
                    <w:bottom w:val="single" w:sz="4" w:space="0" w:color="auto"/>
                    <w:right w:val="single" w:sz="4" w:space="0" w:color="auto"/>
                  </w:tcBorders>
                </w:tcPr>
                <w:p w14:paraId="2E4BA9CD" w14:textId="73501361"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12%</w:t>
                  </w:r>
                </w:p>
              </w:tc>
              <w:tc>
                <w:tcPr>
                  <w:tcW w:w="1556" w:type="pct"/>
                  <w:tcBorders>
                    <w:top w:val="nil"/>
                    <w:left w:val="nil"/>
                    <w:bottom w:val="single" w:sz="4" w:space="0" w:color="auto"/>
                    <w:right w:val="single" w:sz="4" w:space="0" w:color="auto"/>
                  </w:tcBorders>
                </w:tcPr>
                <w:p w14:paraId="2549F99D" w14:textId="14A51BF7"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19%</w:t>
                  </w:r>
                </w:p>
              </w:tc>
              <w:tc>
                <w:tcPr>
                  <w:tcW w:w="975" w:type="pct"/>
                  <w:tcBorders>
                    <w:top w:val="nil"/>
                    <w:left w:val="nil"/>
                    <w:bottom w:val="single" w:sz="4" w:space="0" w:color="auto"/>
                    <w:right w:val="single" w:sz="4" w:space="0" w:color="auto"/>
                  </w:tcBorders>
                </w:tcPr>
                <w:p w14:paraId="5A1F4977" w14:textId="1CF39006"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7%</w:t>
                  </w:r>
                </w:p>
              </w:tc>
            </w:tr>
            <w:tr w:rsidR="00171910" w:rsidRPr="00F45CA7" w14:paraId="1E36D3BC" w14:textId="7D523E42"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0E3C8B89"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Mar-23</w:t>
                  </w:r>
                </w:p>
              </w:tc>
              <w:tc>
                <w:tcPr>
                  <w:tcW w:w="757" w:type="pct"/>
                  <w:tcBorders>
                    <w:top w:val="nil"/>
                    <w:left w:val="nil"/>
                    <w:bottom w:val="single" w:sz="4" w:space="0" w:color="auto"/>
                    <w:right w:val="single" w:sz="4" w:space="0" w:color="auto"/>
                  </w:tcBorders>
                  <w:shd w:val="clear" w:color="auto" w:fill="auto"/>
                  <w:noWrap/>
                  <w:vAlign w:val="bottom"/>
                  <w:hideMark/>
                </w:tcPr>
                <w:p w14:paraId="43C1CAA8" w14:textId="29600FAD"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29%</w:t>
                  </w:r>
                </w:p>
              </w:tc>
              <w:tc>
                <w:tcPr>
                  <w:tcW w:w="1035" w:type="pct"/>
                  <w:tcBorders>
                    <w:top w:val="nil"/>
                    <w:left w:val="nil"/>
                    <w:bottom w:val="single" w:sz="4" w:space="0" w:color="auto"/>
                    <w:right w:val="single" w:sz="4" w:space="0" w:color="auto"/>
                  </w:tcBorders>
                </w:tcPr>
                <w:p w14:paraId="7C88583C" w14:textId="50E3F583"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17%</w:t>
                  </w:r>
                </w:p>
              </w:tc>
              <w:tc>
                <w:tcPr>
                  <w:tcW w:w="1556" w:type="pct"/>
                  <w:tcBorders>
                    <w:top w:val="nil"/>
                    <w:left w:val="nil"/>
                    <w:bottom w:val="single" w:sz="4" w:space="0" w:color="auto"/>
                    <w:right w:val="single" w:sz="4" w:space="0" w:color="auto"/>
                  </w:tcBorders>
                </w:tcPr>
                <w:p w14:paraId="030883AE" w14:textId="71B4740D"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22%</w:t>
                  </w:r>
                </w:p>
              </w:tc>
              <w:tc>
                <w:tcPr>
                  <w:tcW w:w="975" w:type="pct"/>
                  <w:tcBorders>
                    <w:top w:val="nil"/>
                    <w:left w:val="nil"/>
                    <w:bottom w:val="single" w:sz="4" w:space="0" w:color="auto"/>
                    <w:right w:val="single" w:sz="4" w:space="0" w:color="auto"/>
                  </w:tcBorders>
                </w:tcPr>
                <w:p w14:paraId="572B569F" w14:textId="33CEF491"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12%</w:t>
                  </w:r>
                </w:p>
              </w:tc>
            </w:tr>
            <w:tr w:rsidR="00171910" w:rsidRPr="00F45CA7" w14:paraId="513DE081" w14:textId="34A6FA4A" w:rsidTr="008335D7">
              <w:trPr>
                <w:trHeight w:val="292"/>
              </w:trPr>
              <w:tc>
                <w:tcPr>
                  <w:tcW w:w="677" w:type="pct"/>
                  <w:tcBorders>
                    <w:top w:val="nil"/>
                    <w:left w:val="single" w:sz="4" w:space="0" w:color="auto"/>
                    <w:bottom w:val="single" w:sz="4" w:space="0" w:color="auto"/>
                    <w:right w:val="single" w:sz="4" w:space="0" w:color="auto"/>
                  </w:tcBorders>
                  <w:shd w:val="clear" w:color="auto" w:fill="auto"/>
                  <w:noWrap/>
                  <w:vAlign w:val="bottom"/>
                  <w:hideMark/>
                </w:tcPr>
                <w:p w14:paraId="3865A3D8" w14:textId="77777777" w:rsidR="00171910" w:rsidRPr="00F45CA7" w:rsidRDefault="00171910" w:rsidP="00171910">
                  <w:pPr>
                    <w:rPr>
                      <w:rFonts w:ascii="Calibri" w:hAnsi="Calibri" w:cs="Calibri"/>
                      <w:color w:val="000000"/>
                      <w:sz w:val="22"/>
                      <w:szCs w:val="22"/>
                      <w:lang w:eastAsia="en-GB"/>
                    </w:rPr>
                  </w:pPr>
                  <w:r w:rsidRPr="00F45CA7">
                    <w:rPr>
                      <w:rFonts w:ascii="Calibri" w:hAnsi="Calibri" w:cs="Calibri"/>
                      <w:color w:val="000000"/>
                      <w:sz w:val="22"/>
                      <w:szCs w:val="22"/>
                      <w:lang w:eastAsia="en-GB"/>
                    </w:rPr>
                    <w:t>Apr-23</w:t>
                  </w:r>
                </w:p>
              </w:tc>
              <w:tc>
                <w:tcPr>
                  <w:tcW w:w="757" w:type="pct"/>
                  <w:tcBorders>
                    <w:top w:val="nil"/>
                    <w:left w:val="nil"/>
                    <w:bottom w:val="single" w:sz="4" w:space="0" w:color="auto"/>
                    <w:right w:val="single" w:sz="4" w:space="0" w:color="auto"/>
                  </w:tcBorders>
                  <w:shd w:val="clear" w:color="auto" w:fill="auto"/>
                  <w:noWrap/>
                  <w:vAlign w:val="bottom"/>
                  <w:hideMark/>
                </w:tcPr>
                <w:p w14:paraId="2E4B796D" w14:textId="2DFDCC9D"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34%</w:t>
                  </w:r>
                </w:p>
              </w:tc>
              <w:tc>
                <w:tcPr>
                  <w:tcW w:w="1035" w:type="pct"/>
                  <w:tcBorders>
                    <w:top w:val="nil"/>
                    <w:left w:val="nil"/>
                    <w:bottom w:val="single" w:sz="4" w:space="0" w:color="auto"/>
                    <w:right w:val="single" w:sz="4" w:space="0" w:color="auto"/>
                  </w:tcBorders>
                </w:tcPr>
                <w:p w14:paraId="207E09EA" w14:textId="08A69819"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14%</w:t>
                  </w:r>
                </w:p>
              </w:tc>
              <w:tc>
                <w:tcPr>
                  <w:tcW w:w="1556" w:type="pct"/>
                  <w:tcBorders>
                    <w:top w:val="nil"/>
                    <w:left w:val="nil"/>
                    <w:bottom w:val="single" w:sz="4" w:space="0" w:color="auto"/>
                    <w:right w:val="single" w:sz="4" w:space="0" w:color="auto"/>
                  </w:tcBorders>
                </w:tcPr>
                <w:p w14:paraId="201B4538" w14:textId="1BA61900"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22%</w:t>
                  </w:r>
                </w:p>
              </w:tc>
              <w:tc>
                <w:tcPr>
                  <w:tcW w:w="975" w:type="pct"/>
                  <w:tcBorders>
                    <w:top w:val="nil"/>
                    <w:left w:val="nil"/>
                    <w:bottom w:val="single" w:sz="4" w:space="0" w:color="auto"/>
                    <w:right w:val="single" w:sz="4" w:space="0" w:color="auto"/>
                  </w:tcBorders>
                </w:tcPr>
                <w:p w14:paraId="04DCAB46" w14:textId="4ED09A9F"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6%</w:t>
                  </w:r>
                </w:p>
              </w:tc>
            </w:tr>
            <w:tr w:rsidR="00171910" w:rsidRPr="00F45CA7" w14:paraId="5CFB7A3F" w14:textId="20A34D5C" w:rsidTr="008335D7">
              <w:trPr>
                <w:trHeight w:val="292"/>
              </w:trPr>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DA9BD0" w14:textId="77777777" w:rsidR="00171910" w:rsidRPr="00F45CA7" w:rsidRDefault="00171910" w:rsidP="00171910">
                  <w:pPr>
                    <w:rPr>
                      <w:rFonts w:ascii="Calibri" w:hAnsi="Calibri" w:cs="Calibri"/>
                      <w:color w:val="000000"/>
                      <w:sz w:val="22"/>
                      <w:szCs w:val="22"/>
                      <w:lang w:eastAsia="en-GB"/>
                    </w:rPr>
                  </w:pPr>
                  <w:r>
                    <w:rPr>
                      <w:rFonts w:ascii="Calibri" w:hAnsi="Calibri" w:cs="Calibri"/>
                      <w:color w:val="000000"/>
                      <w:sz w:val="22"/>
                      <w:szCs w:val="22"/>
                      <w:lang w:eastAsia="en-GB"/>
                    </w:rPr>
                    <w:t>May-23</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56986A6E" w14:textId="68778088" w:rsidR="00171910" w:rsidRPr="00F45CA7"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39%</w:t>
                  </w:r>
                </w:p>
              </w:tc>
              <w:tc>
                <w:tcPr>
                  <w:tcW w:w="1035" w:type="pct"/>
                  <w:tcBorders>
                    <w:top w:val="single" w:sz="4" w:space="0" w:color="auto"/>
                    <w:left w:val="nil"/>
                    <w:bottom w:val="single" w:sz="4" w:space="0" w:color="auto"/>
                    <w:right w:val="single" w:sz="4" w:space="0" w:color="auto"/>
                  </w:tcBorders>
                </w:tcPr>
                <w:p w14:paraId="3037DF12" w14:textId="1A0A0B66"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16%</w:t>
                  </w:r>
                </w:p>
              </w:tc>
              <w:tc>
                <w:tcPr>
                  <w:tcW w:w="1556" w:type="pct"/>
                  <w:tcBorders>
                    <w:top w:val="single" w:sz="4" w:space="0" w:color="auto"/>
                    <w:left w:val="nil"/>
                    <w:bottom w:val="single" w:sz="4" w:space="0" w:color="auto"/>
                    <w:right w:val="single" w:sz="4" w:space="0" w:color="auto"/>
                  </w:tcBorders>
                </w:tcPr>
                <w:p w14:paraId="67E43794" w14:textId="31D9518B"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24%</w:t>
                  </w:r>
                </w:p>
              </w:tc>
              <w:tc>
                <w:tcPr>
                  <w:tcW w:w="975" w:type="pct"/>
                  <w:tcBorders>
                    <w:top w:val="single" w:sz="4" w:space="0" w:color="auto"/>
                    <w:left w:val="nil"/>
                    <w:bottom w:val="single" w:sz="4" w:space="0" w:color="auto"/>
                    <w:right w:val="single" w:sz="4" w:space="0" w:color="auto"/>
                  </w:tcBorders>
                </w:tcPr>
                <w:p w14:paraId="33DB8D5A" w14:textId="76250B9D" w:rsidR="00171910" w:rsidRDefault="00171910" w:rsidP="00171910">
                  <w:pPr>
                    <w:jc w:val="right"/>
                    <w:rPr>
                      <w:rFonts w:ascii="Calibri" w:hAnsi="Calibri" w:cs="Calibri"/>
                      <w:color w:val="000000"/>
                      <w:sz w:val="22"/>
                      <w:szCs w:val="22"/>
                      <w:lang w:eastAsia="en-GB"/>
                    </w:rPr>
                  </w:pPr>
                  <w:r>
                    <w:rPr>
                      <w:rFonts w:ascii="Calibri" w:hAnsi="Calibri" w:cs="Calibri"/>
                      <w:color w:val="000000"/>
                      <w:sz w:val="22"/>
                      <w:szCs w:val="22"/>
                      <w:lang w:eastAsia="en-GB"/>
                    </w:rPr>
                    <w:t>9%</w:t>
                  </w:r>
                </w:p>
              </w:tc>
            </w:tr>
          </w:tbl>
          <w:p w14:paraId="71FFB455" w14:textId="447FCCA9" w:rsidR="00ED75CA" w:rsidRPr="000471F1" w:rsidRDefault="00ED75CA" w:rsidP="00192936"/>
        </w:tc>
      </w:tr>
    </w:tbl>
    <w:p w14:paraId="06E185D0" w14:textId="14D738CF" w:rsidR="007F62FB" w:rsidRDefault="007F62FB"/>
    <w:p w14:paraId="1FAB122D" w14:textId="5149230E" w:rsidR="007F62FB" w:rsidRPr="007F62FB" w:rsidRDefault="007F62FB">
      <w:pPr>
        <w:rPr>
          <w:b/>
          <w:bCs/>
        </w:rPr>
      </w:pPr>
      <w:r w:rsidRPr="007F62FB">
        <w:rPr>
          <w:b/>
          <w:bCs/>
        </w:rPr>
        <w:t>Commentary – Londoners experiencing financial hardship</w:t>
      </w:r>
    </w:p>
    <w:p w14:paraId="6E07A384" w14:textId="31DDF264" w:rsidR="007F62FB" w:rsidRDefault="002B0D43" w:rsidP="007F62FB">
      <w:pPr>
        <w:pStyle w:val="ListParagraph"/>
        <w:numPr>
          <w:ilvl w:val="0"/>
          <w:numId w:val="8"/>
        </w:numPr>
      </w:pPr>
      <w:r>
        <w:t>Since tracking began, the p</w:t>
      </w:r>
      <w:r w:rsidRPr="002B0D43">
        <w:t>roportion of Londoners who are ‘financially struggling’</w:t>
      </w:r>
      <w:r>
        <w:t xml:space="preserve"> has increased from 12% in January 2022 to 22% in May 2023.</w:t>
      </w:r>
    </w:p>
    <w:p w14:paraId="72B471B5" w14:textId="734DC6EF" w:rsidR="002B0D43" w:rsidRDefault="002B0D43" w:rsidP="007F62FB">
      <w:pPr>
        <w:pStyle w:val="ListParagraph"/>
        <w:numPr>
          <w:ilvl w:val="0"/>
          <w:numId w:val="8"/>
        </w:numPr>
      </w:pPr>
      <w:r>
        <w:t xml:space="preserve">In May 2023, Black Londoners were more likely to be financially struggling (30%) compared with all other ethnic groups (between 20-22%). </w:t>
      </w:r>
    </w:p>
    <w:p w14:paraId="776365DA" w14:textId="02788C00" w:rsidR="007F62FB" w:rsidRDefault="002B0D43" w:rsidP="00287F77">
      <w:pPr>
        <w:pStyle w:val="ListParagraph"/>
        <w:numPr>
          <w:ilvl w:val="0"/>
          <w:numId w:val="8"/>
        </w:numPr>
      </w:pPr>
      <w:r>
        <w:t xml:space="preserve">In May 2023, Disabled Londoners were over twice as likely to be financially struggling than non-disabled Londoners (39% and 16% respectively). </w:t>
      </w:r>
    </w:p>
    <w:p w14:paraId="659F9E62" w14:textId="686F63D2" w:rsidR="00834E7B" w:rsidRDefault="00CA2FFE" w:rsidP="00CA2FFE">
      <w:pPr>
        <w:pStyle w:val="ListParagraph"/>
        <w:numPr>
          <w:ilvl w:val="0"/>
          <w:numId w:val="8"/>
        </w:numPr>
      </w:pPr>
      <w:r>
        <w:t xml:space="preserve">In May 2023, Londoners aged 65 and over were less likely be financially struggling than Londoners aged 18-64 (9% and 24% respectively). </w:t>
      </w:r>
    </w:p>
    <w:p w14:paraId="51DABC02" w14:textId="4F6B6A3F" w:rsidR="007F62FB" w:rsidRDefault="007F62FB"/>
    <w:p w14:paraId="66D7E4B3" w14:textId="77777777" w:rsidR="007F62FB" w:rsidRDefault="007F62FB"/>
    <w:tbl>
      <w:tblPr>
        <w:tblStyle w:val="TableGrid"/>
        <w:tblW w:w="5000" w:type="pct"/>
        <w:tblLook w:val="04A0" w:firstRow="1" w:lastRow="0" w:firstColumn="1" w:lastColumn="0" w:noHBand="0" w:noVBand="1"/>
      </w:tblPr>
      <w:tblGrid>
        <w:gridCol w:w="1129"/>
        <w:gridCol w:w="4537"/>
        <w:gridCol w:w="3350"/>
      </w:tblGrid>
      <w:tr w:rsidR="00192936" w:rsidRPr="003E202F" w14:paraId="19E64369" w14:textId="77777777" w:rsidTr="00ED75CA">
        <w:tc>
          <w:tcPr>
            <w:tcW w:w="626" w:type="pct"/>
            <w:vMerge w:val="restart"/>
            <w:vAlign w:val="center"/>
          </w:tcPr>
          <w:p w14:paraId="59D5632C" w14:textId="346C2C09" w:rsidR="00192936" w:rsidRPr="003E202F" w:rsidRDefault="00192936" w:rsidP="00192936">
            <w:r>
              <w:t>4a</w:t>
            </w:r>
          </w:p>
        </w:tc>
        <w:tc>
          <w:tcPr>
            <w:tcW w:w="2516" w:type="pct"/>
          </w:tcPr>
          <w:p w14:paraId="6A4A7602" w14:textId="2E9DB7AE" w:rsidR="00192936" w:rsidRPr="004C361A" w:rsidRDefault="00F45CA7" w:rsidP="00192936">
            <w:pPr>
              <w:rPr>
                <w:b/>
                <w:bCs/>
              </w:rPr>
            </w:pPr>
            <w:r>
              <w:rPr>
                <w:b/>
                <w:bCs/>
              </w:rPr>
              <w:t>Raising living standards:</w:t>
            </w:r>
          </w:p>
          <w:p w14:paraId="459E2190" w14:textId="5572DFF6" w:rsidR="00192936" w:rsidRPr="000471F1" w:rsidRDefault="00F45CA7" w:rsidP="00192936">
            <w:r w:rsidRPr="00F45CA7">
              <w:t xml:space="preserve">Median </w:t>
            </w:r>
            <w:r w:rsidR="00682A02">
              <w:t>w</w:t>
            </w:r>
            <w:r w:rsidRPr="00F45CA7">
              <w:t xml:space="preserve">eekly </w:t>
            </w:r>
            <w:r w:rsidR="00682A02">
              <w:t>d</w:t>
            </w:r>
            <w:r w:rsidRPr="00F45CA7">
              <w:t xml:space="preserve">isposable </w:t>
            </w:r>
            <w:r w:rsidR="00682A02">
              <w:t>h</w:t>
            </w:r>
            <w:r w:rsidRPr="00F45CA7">
              <w:t xml:space="preserve">ousehold </w:t>
            </w:r>
            <w:r w:rsidR="00682A02">
              <w:t>i</w:t>
            </w:r>
            <w:r w:rsidRPr="00F45CA7">
              <w:t xml:space="preserve">ncome </w:t>
            </w:r>
            <w:r>
              <w:t xml:space="preserve">in </w:t>
            </w:r>
            <w:r w:rsidRPr="00F45CA7">
              <w:t>London (</w:t>
            </w:r>
            <w:r w:rsidR="00682A02">
              <w:t>a</w:t>
            </w:r>
            <w:r w:rsidRPr="00F45CA7">
              <w:t xml:space="preserve">fter </w:t>
            </w:r>
            <w:r w:rsidR="00682A02">
              <w:t>h</w:t>
            </w:r>
            <w:r w:rsidRPr="00F45CA7">
              <w:t xml:space="preserve">ousing </w:t>
            </w:r>
            <w:r w:rsidR="00682A02">
              <w:t>c</w:t>
            </w:r>
            <w:r w:rsidRPr="00F45CA7">
              <w:t>osts)</w:t>
            </w:r>
          </w:p>
        </w:tc>
        <w:tc>
          <w:tcPr>
            <w:tcW w:w="1858" w:type="pct"/>
          </w:tcPr>
          <w:p w14:paraId="5E7A6E4C" w14:textId="6336B680" w:rsidR="00192936" w:rsidRPr="000471F1" w:rsidRDefault="00F77F5C" w:rsidP="00192936">
            <w:hyperlink r:id="rId19" w:history="1">
              <w:r w:rsidR="00F45CA7" w:rsidRPr="006B348A">
                <w:rPr>
                  <w:rStyle w:val="Hyperlink"/>
                </w:rPr>
                <w:t>Family Resources Survey, 3-year average median equivalised weekly income AHC indexed to 2021/22 prices</w:t>
              </w:r>
            </w:hyperlink>
          </w:p>
        </w:tc>
      </w:tr>
      <w:tr w:rsidR="00192936" w:rsidRPr="003E202F" w14:paraId="616161BA" w14:textId="77777777" w:rsidTr="00ED75CA">
        <w:tc>
          <w:tcPr>
            <w:tcW w:w="626" w:type="pct"/>
            <w:vMerge/>
          </w:tcPr>
          <w:p w14:paraId="31B4D8E7" w14:textId="77777777" w:rsidR="00192936" w:rsidRPr="003E202F" w:rsidRDefault="00192936" w:rsidP="00192936"/>
        </w:tc>
        <w:tc>
          <w:tcPr>
            <w:tcW w:w="4374" w:type="pct"/>
            <w:gridSpan w:val="2"/>
          </w:tcPr>
          <w:p w14:paraId="01F1F3E2" w14:textId="77777777" w:rsidR="00192936" w:rsidRDefault="00192936" w:rsidP="00192936"/>
          <w:tbl>
            <w:tblPr>
              <w:tblW w:w="3712" w:type="dxa"/>
              <w:tblLook w:val="04A0" w:firstRow="1" w:lastRow="0" w:firstColumn="1" w:lastColumn="0" w:noHBand="0" w:noVBand="1"/>
            </w:tblPr>
            <w:tblGrid>
              <w:gridCol w:w="2436"/>
              <w:gridCol w:w="1276"/>
            </w:tblGrid>
            <w:tr w:rsidR="00DF6BF7" w:rsidRPr="00DF6BF7" w14:paraId="60B73E07" w14:textId="77777777" w:rsidTr="00ED75CA">
              <w:trPr>
                <w:trHeight w:val="300"/>
              </w:trPr>
              <w:tc>
                <w:tcPr>
                  <w:tcW w:w="2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2E562" w14:textId="0ACF2849" w:rsidR="00DF6BF7" w:rsidRPr="00DF6BF7" w:rsidRDefault="00DF6BF7" w:rsidP="00DF6BF7">
                  <w:pPr>
                    <w:rPr>
                      <w:rFonts w:ascii="Calibri" w:hAnsi="Calibri" w:cs="Calibri"/>
                      <w:b/>
                      <w:bCs/>
                      <w:color w:val="000000"/>
                      <w:sz w:val="22"/>
                      <w:szCs w:val="22"/>
                      <w:lang w:eastAsia="en-GB"/>
                    </w:rPr>
                  </w:pPr>
                  <w:r w:rsidRPr="00DF6BF7">
                    <w:rPr>
                      <w:rFonts w:ascii="Calibri" w:hAnsi="Calibri" w:cs="Calibri"/>
                      <w:b/>
                      <w:bCs/>
                      <w:color w:val="000000"/>
                      <w:sz w:val="22"/>
                      <w:szCs w:val="22"/>
                      <w:lang w:eastAsia="en-GB"/>
                    </w:rPr>
                    <w:t> Year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C6C66E" w14:textId="6037A8B6" w:rsidR="00DF6BF7" w:rsidRPr="00DF6BF7" w:rsidRDefault="00DF6BF7" w:rsidP="00DF6BF7">
                  <w:pPr>
                    <w:rPr>
                      <w:rFonts w:ascii="Calibri" w:hAnsi="Calibri" w:cs="Calibri"/>
                      <w:b/>
                      <w:bCs/>
                      <w:color w:val="000000"/>
                      <w:sz w:val="22"/>
                      <w:szCs w:val="22"/>
                      <w:lang w:eastAsia="en-GB"/>
                    </w:rPr>
                  </w:pPr>
                  <w:r w:rsidRPr="00DF6BF7">
                    <w:rPr>
                      <w:rFonts w:ascii="Calibri" w:hAnsi="Calibri" w:cs="Calibri"/>
                      <w:b/>
                      <w:bCs/>
                      <w:color w:val="000000"/>
                      <w:sz w:val="22"/>
                      <w:szCs w:val="22"/>
                      <w:lang w:eastAsia="en-GB"/>
                    </w:rPr>
                    <w:t>London</w:t>
                  </w:r>
                  <w:r>
                    <w:rPr>
                      <w:rFonts w:ascii="Calibri" w:hAnsi="Calibri" w:cs="Calibri"/>
                      <w:b/>
                      <w:bCs/>
                      <w:color w:val="000000"/>
                      <w:sz w:val="22"/>
                      <w:szCs w:val="22"/>
                      <w:lang w:eastAsia="en-GB"/>
                    </w:rPr>
                    <w:t xml:space="preserve"> (£)</w:t>
                  </w:r>
                </w:p>
              </w:tc>
            </w:tr>
            <w:tr w:rsidR="00DF6BF7" w:rsidRPr="00DF6BF7" w14:paraId="505ED2BD" w14:textId="77777777" w:rsidTr="00ED75CA">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78187C30" w14:textId="77777777" w:rsidR="00DF6BF7" w:rsidRPr="00DF6BF7" w:rsidRDefault="00DF6BF7" w:rsidP="00DF6BF7">
                  <w:pPr>
                    <w:rPr>
                      <w:rFonts w:ascii="Calibri" w:hAnsi="Calibri" w:cs="Calibri"/>
                      <w:color w:val="000000"/>
                      <w:sz w:val="22"/>
                      <w:szCs w:val="22"/>
                      <w:lang w:eastAsia="en-GB"/>
                    </w:rPr>
                  </w:pPr>
                  <w:r w:rsidRPr="00DF6BF7">
                    <w:rPr>
                      <w:rFonts w:ascii="Calibri" w:hAnsi="Calibri" w:cs="Calibri"/>
                      <w:color w:val="000000"/>
                      <w:sz w:val="22"/>
                      <w:szCs w:val="22"/>
                      <w:lang w:eastAsia="en-GB"/>
                    </w:rPr>
                    <w:t>2017/18-2019/20</w:t>
                  </w:r>
                </w:p>
              </w:tc>
              <w:tc>
                <w:tcPr>
                  <w:tcW w:w="1276" w:type="dxa"/>
                  <w:tcBorders>
                    <w:top w:val="nil"/>
                    <w:left w:val="nil"/>
                    <w:bottom w:val="single" w:sz="4" w:space="0" w:color="auto"/>
                    <w:right w:val="single" w:sz="4" w:space="0" w:color="auto"/>
                  </w:tcBorders>
                  <w:shd w:val="clear" w:color="auto" w:fill="auto"/>
                  <w:noWrap/>
                  <w:vAlign w:val="bottom"/>
                  <w:hideMark/>
                </w:tcPr>
                <w:p w14:paraId="5E612895" w14:textId="77777777" w:rsidR="00DF6BF7" w:rsidRPr="00DF6BF7" w:rsidRDefault="00DF6BF7" w:rsidP="00DF6BF7">
                  <w:pPr>
                    <w:jc w:val="right"/>
                    <w:rPr>
                      <w:rFonts w:ascii="Calibri" w:hAnsi="Calibri" w:cs="Calibri"/>
                      <w:color w:val="000000"/>
                      <w:sz w:val="22"/>
                      <w:szCs w:val="22"/>
                      <w:lang w:eastAsia="en-GB"/>
                    </w:rPr>
                  </w:pPr>
                  <w:r w:rsidRPr="00DF6BF7">
                    <w:rPr>
                      <w:rFonts w:ascii="Calibri" w:hAnsi="Calibri" w:cs="Calibri"/>
                      <w:color w:val="000000"/>
                      <w:sz w:val="22"/>
                      <w:szCs w:val="22"/>
                      <w:lang w:eastAsia="en-GB"/>
                    </w:rPr>
                    <w:t>497</w:t>
                  </w:r>
                </w:p>
              </w:tc>
            </w:tr>
            <w:tr w:rsidR="00DF6BF7" w:rsidRPr="00DF6BF7" w14:paraId="7410D74E" w14:textId="77777777" w:rsidTr="00ED75CA">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60C78B1A" w14:textId="77777777" w:rsidR="00DF6BF7" w:rsidRPr="00DF6BF7" w:rsidRDefault="00DF6BF7" w:rsidP="00DF6BF7">
                  <w:pPr>
                    <w:rPr>
                      <w:rFonts w:ascii="Calibri" w:hAnsi="Calibri" w:cs="Calibri"/>
                      <w:color w:val="000000"/>
                      <w:sz w:val="22"/>
                      <w:szCs w:val="22"/>
                      <w:lang w:eastAsia="en-GB"/>
                    </w:rPr>
                  </w:pPr>
                  <w:r w:rsidRPr="00DF6BF7">
                    <w:rPr>
                      <w:rFonts w:ascii="Calibri" w:hAnsi="Calibri" w:cs="Calibri"/>
                      <w:color w:val="000000"/>
                      <w:sz w:val="22"/>
                      <w:szCs w:val="22"/>
                      <w:lang w:eastAsia="en-GB"/>
                    </w:rPr>
                    <w:t>2018/19-2020/21*</w:t>
                  </w:r>
                </w:p>
              </w:tc>
              <w:tc>
                <w:tcPr>
                  <w:tcW w:w="1276" w:type="dxa"/>
                  <w:tcBorders>
                    <w:top w:val="nil"/>
                    <w:left w:val="nil"/>
                    <w:bottom w:val="single" w:sz="4" w:space="0" w:color="auto"/>
                    <w:right w:val="single" w:sz="4" w:space="0" w:color="auto"/>
                  </w:tcBorders>
                  <w:shd w:val="clear" w:color="auto" w:fill="auto"/>
                  <w:noWrap/>
                  <w:vAlign w:val="bottom"/>
                  <w:hideMark/>
                </w:tcPr>
                <w:p w14:paraId="62305A9B" w14:textId="77777777" w:rsidR="00DF6BF7" w:rsidRPr="00DF6BF7" w:rsidRDefault="00DF6BF7" w:rsidP="00DF6BF7">
                  <w:pPr>
                    <w:jc w:val="right"/>
                    <w:rPr>
                      <w:rFonts w:ascii="Calibri" w:hAnsi="Calibri" w:cs="Calibri"/>
                      <w:color w:val="000000"/>
                      <w:sz w:val="22"/>
                      <w:szCs w:val="22"/>
                      <w:lang w:eastAsia="en-GB"/>
                    </w:rPr>
                  </w:pPr>
                  <w:r w:rsidRPr="00DF6BF7">
                    <w:rPr>
                      <w:rFonts w:ascii="Calibri" w:hAnsi="Calibri" w:cs="Calibri"/>
                      <w:color w:val="000000"/>
                      <w:sz w:val="22"/>
                      <w:szCs w:val="22"/>
                      <w:lang w:eastAsia="en-GB"/>
                    </w:rPr>
                    <w:t>509</w:t>
                  </w:r>
                </w:p>
              </w:tc>
            </w:tr>
            <w:tr w:rsidR="00DF6BF7" w:rsidRPr="00DF6BF7" w14:paraId="41E768A6" w14:textId="77777777" w:rsidTr="00ED75CA">
              <w:trPr>
                <w:trHeight w:val="300"/>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14:paraId="4520B3DC" w14:textId="77777777" w:rsidR="00DF6BF7" w:rsidRPr="00DF6BF7" w:rsidRDefault="00DF6BF7" w:rsidP="00DF6BF7">
                  <w:pPr>
                    <w:rPr>
                      <w:rFonts w:ascii="Calibri" w:hAnsi="Calibri" w:cs="Calibri"/>
                      <w:color w:val="000000"/>
                      <w:sz w:val="22"/>
                      <w:szCs w:val="22"/>
                      <w:lang w:eastAsia="en-GB"/>
                    </w:rPr>
                  </w:pPr>
                  <w:r w:rsidRPr="00DF6BF7">
                    <w:rPr>
                      <w:rFonts w:ascii="Calibri" w:hAnsi="Calibri" w:cs="Calibri"/>
                      <w:color w:val="000000"/>
                      <w:sz w:val="22"/>
                      <w:szCs w:val="22"/>
                      <w:lang w:eastAsia="en-GB"/>
                    </w:rPr>
                    <w:t>2019/20-2021/22*</w:t>
                  </w:r>
                </w:p>
              </w:tc>
              <w:tc>
                <w:tcPr>
                  <w:tcW w:w="1276" w:type="dxa"/>
                  <w:tcBorders>
                    <w:top w:val="nil"/>
                    <w:left w:val="nil"/>
                    <w:bottom w:val="single" w:sz="4" w:space="0" w:color="auto"/>
                    <w:right w:val="single" w:sz="4" w:space="0" w:color="auto"/>
                  </w:tcBorders>
                  <w:shd w:val="clear" w:color="auto" w:fill="auto"/>
                  <w:noWrap/>
                  <w:vAlign w:val="bottom"/>
                  <w:hideMark/>
                </w:tcPr>
                <w:p w14:paraId="12A0E7C0" w14:textId="77777777" w:rsidR="00DF6BF7" w:rsidRPr="00DF6BF7" w:rsidRDefault="00DF6BF7" w:rsidP="00DF6BF7">
                  <w:pPr>
                    <w:jc w:val="right"/>
                    <w:rPr>
                      <w:rFonts w:ascii="Calibri" w:hAnsi="Calibri" w:cs="Calibri"/>
                      <w:color w:val="000000"/>
                      <w:sz w:val="22"/>
                      <w:szCs w:val="22"/>
                      <w:lang w:eastAsia="en-GB"/>
                    </w:rPr>
                  </w:pPr>
                  <w:r w:rsidRPr="00DF6BF7">
                    <w:rPr>
                      <w:rFonts w:ascii="Calibri" w:hAnsi="Calibri" w:cs="Calibri"/>
                      <w:color w:val="000000"/>
                      <w:sz w:val="22"/>
                      <w:szCs w:val="22"/>
                      <w:lang w:eastAsia="en-GB"/>
                    </w:rPr>
                    <w:t>540</w:t>
                  </w:r>
                </w:p>
              </w:tc>
            </w:tr>
          </w:tbl>
          <w:p w14:paraId="79514166" w14:textId="77777777" w:rsidR="00192936" w:rsidRDefault="00192936" w:rsidP="00192936"/>
          <w:p w14:paraId="3432E5B5" w14:textId="7B674492" w:rsidR="00192936" w:rsidRDefault="00DF6BF7" w:rsidP="00192936">
            <w:r w:rsidRPr="00DF6BF7">
              <w:t>* Data are three</w:t>
            </w:r>
            <w:r>
              <w:t>-</w:t>
            </w:r>
            <w:r w:rsidRPr="00DF6BF7">
              <w:t>year averages, but no data available for 2020/21, so estimates for years including 2020/21 are averages of the two remaining time points</w:t>
            </w:r>
            <w:r>
              <w:t>.</w:t>
            </w:r>
          </w:p>
          <w:p w14:paraId="3D46D4E0" w14:textId="77A5F19C" w:rsidR="00DF6BF7" w:rsidRPr="000471F1" w:rsidRDefault="00DF6BF7" w:rsidP="00192936"/>
        </w:tc>
      </w:tr>
      <w:tr w:rsidR="00192936" w:rsidRPr="003E202F" w14:paraId="12345234" w14:textId="77777777" w:rsidTr="00ED75CA">
        <w:tc>
          <w:tcPr>
            <w:tcW w:w="626" w:type="pct"/>
            <w:vAlign w:val="center"/>
          </w:tcPr>
          <w:p w14:paraId="35EB3BCB" w14:textId="15DC2FF4" w:rsidR="00192936" w:rsidRPr="003E202F" w:rsidRDefault="00192936" w:rsidP="00C4220E">
            <w:r>
              <w:t>4b</w:t>
            </w:r>
          </w:p>
        </w:tc>
        <w:tc>
          <w:tcPr>
            <w:tcW w:w="2516" w:type="pct"/>
          </w:tcPr>
          <w:p w14:paraId="1C61B470" w14:textId="739C5EE8" w:rsidR="00192936" w:rsidRPr="004C361A" w:rsidRDefault="00F45CA7" w:rsidP="00C4220E">
            <w:pPr>
              <w:rPr>
                <w:b/>
                <w:bCs/>
              </w:rPr>
            </w:pPr>
            <w:r>
              <w:rPr>
                <w:b/>
                <w:bCs/>
              </w:rPr>
              <w:t>Population in poverty:</w:t>
            </w:r>
          </w:p>
          <w:p w14:paraId="6B53F06C" w14:textId="5DC36241" w:rsidR="00682A02" w:rsidRPr="000471F1" w:rsidRDefault="00682A02" w:rsidP="00C4220E">
            <w:r>
              <w:t>Relative poverty</w:t>
            </w:r>
            <w:r w:rsidR="00526028">
              <w:t>:</w:t>
            </w:r>
            <w:r>
              <w:t xml:space="preserve"> </w:t>
            </w:r>
            <w:r w:rsidRPr="00682A02">
              <w:t xml:space="preserve">% of people living in households with income below 60% contemporary median </w:t>
            </w:r>
            <w:r>
              <w:t>–</w:t>
            </w:r>
            <w:r w:rsidRPr="00682A02">
              <w:t xml:space="preserve"> </w:t>
            </w:r>
            <w:r>
              <w:t>a</w:t>
            </w:r>
            <w:r w:rsidRPr="00682A02">
              <w:t xml:space="preserve">fter </w:t>
            </w:r>
            <w:r>
              <w:t>h</w:t>
            </w:r>
            <w:r w:rsidRPr="00682A02">
              <w:t xml:space="preserve">ousing </w:t>
            </w:r>
            <w:r>
              <w:t>c</w:t>
            </w:r>
            <w:r w:rsidRPr="00682A02">
              <w:t>osts (AHC)</w:t>
            </w:r>
          </w:p>
        </w:tc>
        <w:tc>
          <w:tcPr>
            <w:tcW w:w="1858" w:type="pct"/>
          </w:tcPr>
          <w:p w14:paraId="0E3B40DF" w14:textId="2A24D87A" w:rsidR="00192936" w:rsidRPr="000471F1" w:rsidRDefault="00F77F5C" w:rsidP="00C4220E">
            <w:hyperlink r:id="rId20" w:history="1">
              <w:r w:rsidR="00682A02" w:rsidRPr="006B348A">
                <w:rPr>
                  <w:rStyle w:val="Hyperlink"/>
                </w:rPr>
                <w:t>Households Below Average Income, DWP</w:t>
              </w:r>
            </w:hyperlink>
          </w:p>
        </w:tc>
      </w:tr>
      <w:tr w:rsidR="00682A02" w:rsidRPr="003E202F" w14:paraId="23E64433" w14:textId="77777777" w:rsidTr="00ED75CA">
        <w:tc>
          <w:tcPr>
            <w:tcW w:w="626" w:type="pct"/>
          </w:tcPr>
          <w:p w14:paraId="67722544" w14:textId="38D04436" w:rsidR="00682A02" w:rsidRPr="003E202F" w:rsidRDefault="00682A02" w:rsidP="00192936"/>
        </w:tc>
        <w:tc>
          <w:tcPr>
            <w:tcW w:w="4374" w:type="pct"/>
            <w:gridSpan w:val="2"/>
          </w:tcPr>
          <w:p w14:paraId="1EEFA070" w14:textId="77777777" w:rsidR="00682A02" w:rsidRDefault="00682A02" w:rsidP="00192936"/>
          <w:tbl>
            <w:tblPr>
              <w:tblW w:w="6547" w:type="dxa"/>
              <w:tblLook w:val="04A0" w:firstRow="1" w:lastRow="0" w:firstColumn="1" w:lastColumn="0" w:noHBand="0" w:noVBand="1"/>
            </w:tblPr>
            <w:tblGrid>
              <w:gridCol w:w="1585"/>
              <w:gridCol w:w="1276"/>
              <w:gridCol w:w="992"/>
              <w:gridCol w:w="1418"/>
              <w:gridCol w:w="1276"/>
            </w:tblGrid>
            <w:tr w:rsidR="004C50A4" w:rsidRPr="00156A90" w14:paraId="44A6FF0A" w14:textId="77777777" w:rsidTr="00ED75CA">
              <w:trPr>
                <w:trHeight w:val="30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448E3" w14:textId="08FD01D3" w:rsidR="00156A90" w:rsidRPr="00156A90" w:rsidRDefault="00156A90" w:rsidP="00156A90">
                  <w:pPr>
                    <w:rPr>
                      <w:rFonts w:ascii="Calibri" w:hAnsi="Calibri" w:cs="Calibri"/>
                      <w:b/>
                      <w:bCs/>
                      <w:color w:val="000000"/>
                      <w:sz w:val="22"/>
                      <w:szCs w:val="22"/>
                      <w:lang w:eastAsia="en-GB"/>
                    </w:rPr>
                  </w:pPr>
                  <w:r w:rsidRPr="00156A90">
                    <w:rPr>
                      <w:rFonts w:ascii="Calibri" w:hAnsi="Calibri" w:cs="Calibri"/>
                      <w:b/>
                      <w:bCs/>
                      <w:color w:val="000000"/>
                      <w:sz w:val="22"/>
                      <w:szCs w:val="22"/>
                      <w:lang w:eastAsia="en-GB"/>
                    </w:rPr>
                    <w:t> Year</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CFCFF8F" w14:textId="77777777" w:rsidR="00156A90" w:rsidRPr="00156A90" w:rsidRDefault="00156A90" w:rsidP="00156A90">
                  <w:pPr>
                    <w:rPr>
                      <w:rFonts w:ascii="Calibri" w:hAnsi="Calibri" w:cs="Calibri"/>
                      <w:b/>
                      <w:bCs/>
                      <w:color w:val="000000"/>
                      <w:sz w:val="22"/>
                      <w:szCs w:val="22"/>
                      <w:lang w:eastAsia="en-GB"/>
                    </w:rPr>
                  </w:pPr>
                  <w:r w:rsidRPr="00156A90">
                    <w:rPr>
                      <w:rFonts w:ascii="Calibri" w:hAnsi="Calibri" w:cs="Calibri"/>
                      <w:b/>
                      <w:bCs/>
                      <w:color w:val="000000"/>
                      <w:sz w:val="22"/>
                      <w:szCs w:val="22"/>
                      <w:lang w:eastAsia="en-GB"/>
                    </w:rPr>
                    <w:t>All people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0E4FBA5" w14:textId="77777777" w:rsidR="00156A90" w:rsidRPr="00156A90" w:rsidRDefault="00156A90" w:rsidP="00156A90">
                  <w:pPr>
                    <w:rPr>
                      <w:rFonts w:ascii="Calibri" w:hAnsi="Calibri" w:cs="Calibri"/>
                      <w:b/>
                      <w:bCs/>
                      <w:color w:val="000000"/>
                      <w:sz w:val="22"/>
                      <w:szCs w:val="22"/>
                      <w:lang w:eastAsia="en-GB"/>
                    </w:rPr>
                  </w:pPr>
                  <w:r w:rsidRPr="00156A90">
                    <w:rPr>
                      <w:rFonts w:ascii="Calibri" w:hAnsi="Calibri" w:cs="Calibri"/>
                      <w:b/>
                      <w:bCs/>
                      <w:color w:val="000000"/>
                      <w:sz w:val="22"/>
                      <w:szCs w:val="22"/>
                      <w:lang w:eastAsia="en-GB"/>
                    </w:rPr>
                    <w:t>Children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B96DBF5" w14:textId="77777777" w:rsidR="00156A90" w:rsidRPr="00156A90" w:rsidRDefault="00156A90" w:rsidP="00156A90">
                  <w:pPr>
                    <w:rPr>
                      <w:rFonts w:ascii="Calibri" w:hAnsi="Calibri" w:cs="Calibri"/>
                      <w:b/>
                      <w:bCs/>
                      <w:color w:val="000000"/>
                      <w:sz w:val="22"/>
                      <w:szCs w:val="22"/>
                      <w:lang w:eastAsia="en-GB"/>
                    </w:rPr>
                  </w:pPr>
                  <w:r w:rsidRPr="00156A90">
                    <w:rPr>
                      <w:rFonts w:ascii="Calibri" w:hAnsi="Calibri" w:cs="Calibri"/>
                      <w:b/>
                      <w:bCs/>
                      <w:color w:val="000000"/>
                      <w:sz w:val="22"/>
                      <w:szCs w:val="22"/>
                      <w:lang w:eastAsia="en-GB"/>
                    </w:rPr>
                    <w:t>Working age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58118F4" w14:textId="77777777" w:rsidR="00156A90" w:rsidRPr="00156A90" w:rsidRDefault="00156A90" w:rsidP="00156A90">
                  <w:pPr>
                    <w:rPr>
                      <w:rFonts w:ascii="Calibri" w:hAnsi="Calibri" w:cs="Calibri"/>
                      <w:b/>
                      <w:bCs/>
                      <w:color w:val="000000"/>
                      <w:sz w:val="22"/>
                      <w:szCs w:val="22"/>
                      <w:lang w:eastAsia="en-GB"/>
                    </w:rPr>
                  </w:pPr>
                  <w:r w:rsidRPr="00156A90">
                    <w:rPr>
                      <w:rFonts w:ascii="Calibri" w:hAnsi="Calibri" w:cs="Calibri"/>
                      <w:b/>
                      <w:bCs/>
                      <w:color w:val="000000"/>
                      <w:sz w:val="22"/>
                      <w:szCs w:val="22"/>
                      <w:lang w:eastAsia="en-GB"/>
                    </w:rPr>
                    <w:t>Pensioners (%)</w:t>
                  </w:r>
                </w:p>
              </w:tc>
            </w:tr>
            <w:tr w:rsidR="004C50A4" w:rsidRPr="00156A90" w14:paraId="342BC57F" w14:textId="77777777" w:rsidTr="00ED75CA">
              <w:trPr>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592F787" w14:textId="77777777" w:rsidR="00156A90" w:rsidRPr="00156A90" w:rsidRDefault="00156A90" w:rsidP="00156A90">
                  <w:pPr>
                    <w:rPr>
                      <w:rFonts w:ascii="Calibri" w:hAnsi="Calibri" w:cs="Calibri"/>
                      <w:color w:val="000000"/>
                      <w:sz w:val="22"/>
                      <w:szCs w:val="22"/>
                      <w:lang w:eastAsia="en-GB"/>
                    </w:rPr>
                  </w:pPr>
                  <w:r w:rsidRPr="00156A90">
                    <w:rPr>
                      <w:rFonts w:ascii="Calibri" w:hAnsi="Calibri" w:cs="Calibri"/>
                      <w:color w:val="000000"/>
                      <w:sz w:val="22"/>
                      <w:szCs w:val="22"/>
                      <w:lang w:eastAsia="en-GB"/>
                    </w:rPr>
                    <w:t>17/18-19/20</w:t>
                  </w:r>
                </w:p>
              </w:tc>
              <w:tc>
                <w:tcPr>
                  <w:tcW w:w="1276" w:type="dxa"/>
                  <w:tcBorders>
                    <w:top w:val="nil"/>
                    <w:left w:val="nil"/>
                    <w:bottom w:val="single" w:sz="4" w:space="0" w:color="auto"/>
                    <w:right w:val="single" w:sz="4" w:space="0" w:color="auto"/>
                  </w:tcBorders>
                  <w:shd w:val="clear" w:color="auto" w:fill="auto"/>
                  <w:noWrap/>
                  <w:vAlign w:val="bottom"/>
                  <w:hideMark/>
                </w:tcPr>
                <w:p w14:paraId="022EC82B"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27</w:t>
                  </w:r>
                </w:p>
              </w:tc>
              <w:tc>
                <w:tcPr>
                  <w:tcW w:w="992" w:type="dxa"/>
                  <w:tcBorders>
                    <w:top w:val="nil"/>
                    <w:left w:val="nil"/>
                    <w:bottom w:val="single" w:sz="4" w:space="0" w:color="auto"/>
                    <w:right w:val="single" w:sz="4" w:space="0" w:color="auto"/>
                  </w:tcBorders>
                  <w:shd w:val="clear" w:color="auto" w:fill="auto"/>
                  <w:noWrap/>
                  <w:vAlign w:val="bottom"/>
                  <w:hideMark/>
                </w:tcPr>
                <w:p w14:paraId="57C1D018"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38</w:t>
                  </w:r>
                </w:p>
              </w:tc>
              <w:tc>
                <w:tcPr>
                  <w:tcW w:w="1418" w:type="dxa"/>
                  <w:tcBorders>
                    <w:top w:val="nil"/>
                    <w:left w:val="nil"/>
                    <w:bottom w:val="single" w:sz="4" w:space="0" w:color="auto"/>
                    <w:right w:val="single" w:sz="4" w:space="0" w:color="auto"/>
                  </w:tcBorders>
                  <w:shd w:val="clear" w:color="auto" w:fill="auto"/>
                  <w:noWrap/>
                  <w:vAlign w:val="bottom"/>
                  <w:hideMark/>
                </w:tcPr>
                <w:p w14:paraId="41590495"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24</w:t>
                  </w:r>
                </w:p>
              </w:tc>
              <w:tc>
                <w:tcPr>
                  <w:tcW w:w="1276" w:type="dxa"/>
                  <w:tcBorders>
                    <w:top w:val="nil"/>
                    <w:left w:val="nil"/>
                    <w:bottom w:val="single" w:sz="4" w:space="0" w:color="auto"/>
                    <w:right w:val="single" w:sz="4" w:space="0" w:color="auto"/>
                  </w:tcBorders>
                  <w:shd w:val="clear" w:color="auto" w:fill="auto"/>
                  <w:noWrap/>
                  <w:vAlign w:val="bottom"/>
                  <w:hideMark/>
                </w:tcPr>
                <w:p w14:paraId="0F11AD23"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25</w:t>
                  </w:r>
                </w:p>
              </w:tc>
            </w:tr>
            <w:tr w:rsidR="004C50A4" w:rsidRPr="00156A90" w14:paraId="6B7DA471" w14:textId="77777777" w:rsidTr="00ED75CA">
              <w:trPr>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E44724E" w14:textId="77777777" w:rsidR="00156A90" w:rsidRPr="00156A90" w:rsidRDefault="00156A90" w:rsidP="00156A90">
                  <w:pPr>
                    <w:rPr>
                      <w:rFonts w:ascii="Calibri" w:hAnsi="Calibri" w:cs="Calibri"/>
                      <w:color w:val="000000"/>
                      <w:sz w:val="22"/>
                      <w:szCs w:val="22"/>
                      <w:lang w:eastAsia="en-GB"/>
                    </w:rPr>
                  </w:pPr>
                  <w:r w:rsidRPr="00156A90">
                    <w:rPr>
                      <w:rFonts w:ascii="Calibri" w:hAnsi="Calibri" w:cs="Calibri"/>
                      <w:color w:val="000000"/>
                      <w:sz w:val="22"/>
                      <w:szCs w:val="22"/>
                      <w:lang w:eastAsia="en-GB"/>
                    </w:rPr>
                    <w:t>18/19-20/21*</w:t>
                  </w:r>
                </w:p>
              </w:tc>
              <w:tc>
                <w:tcPr>
                  <w:tcW w:w="1276" w:type="dxa"/>
                  <w:tcBorders>
                    <w:top w:val="nil"/>
                    <w:left w:val="nil"/>
                    <w:bottom w:val="single" w:sz="4" w:space="0" w:color="auto"/>
                    <w:right w:val="single" w:sz="4" w:space="0" w:color="auto"/>
                  </w:tcBorders>
                  <w:shd w:val="clear" w:color="auto" w:fill="auto"/>
                  <w:noWrap/>
                  <w:vAlign w:val="bottom"/>
                  <w:hideMark/>
                </w:tcPr>
                <w:p w14:paraId="72E1D3A7"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27</w:t>
                  </w:r>
                </w:p>
              </w:tc>
              <w:tc>
                <w:tcPr>
                  <w:tcW w:w="992" w:type="dxa"/>
                  <w:tcBorders>
                    <w:top w:val="nil"/>
                    <w:left w:val="nil"/>
                    <w:bottom w:val="single" w:sz="4" w:space="0" w:color="auto"/>
                    <w:right w:val="single" w:sz="4" w:space="0" w:color="auto"/>
                  </w:tcBorders>
                  <w:shd w:val="clear" w:color="auto" w:fill="auto"/>
                  <w:noWrap/>
                  <w:vAlign w:val="bottom"/>
                  <w:hideMark/>
                </w:tcPr>
                <w:p w14:paraId="5C81AC25"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37</w:t>
                  </w:r>
                </w:p>
              </w:tc>
              <w:tc>
                <w:tcPr>
                  <w:tcW w:w="1418" w:type="dxa"/>
                  <w:tcBorders>
                    <w:top w:val="nil"/>
                    <w:left w:val="nil"/>
                    <w:bottom w:val="single" w:sz="4" w:space="0" w:color="auto"/>
                    <w:right w:val="single" w:sz="4" w:space="0" w:color="auto"/>
                  </w:tcBorders>
                  <w:shd w:val="clear" w:color="auto" w:fill="auto"/>
                  <w:noWrap/>
                  <w:vAlign w:val="bottom"/>
                  <w:hideMark/>
                </w:tcPr>
                <w:p w14:paraId="75B5F8A8"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24</w:t>
                  </w:r>
                </w:p>
              </w:tc>
              <w:tc>
                <w:tcPr>
                  <w:tcW w:w="1276" w:type="dxa"/>
                  <w:tcBorders>
                    <w:top w:val="nil"/>
                    <w:left w:val="nil"/>
                    <w:bottom w:val="single" w:sz="4" w:space="0" w:color="auto"/>
                    <w:right w:val="single" w:sz="4" w:space="0" w:color="auto"/>
                  </w:tcBorders>
                  <w:shd w:val="clear" w:color="auto" w:fill="auto"/>
                  <w:noWrap/>
                  <w:vAlign w:val="bottom"/>
                  <w:hideMark/>
                </w:tcPr>
                <w:p w14:paraId="6111307A"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26</w:t>
                  </w:r>
                </w:p>
              </w:tc>
            </w:tr>
            <w:tr w:rsidR="004C50A4" w:rsidRPr="00156A90" w14:paraId="2A2D72AD" w14:textId="77777777" w:rsidTr="00ED75CA">
              <w:trPr>
                <w:trHeight w:val="300"/>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E1A6103" w14:textId="77777777" w:rsidR="00156A90" w:rsidRPr="00156A90" w:rsidRDefault="00156A90" w:rsidP="00156A90">
                  <w:pPr>
                    <w:rPr>
                      <w:rFonts w:ascii="Calibri" w:hAnsi="Calibri" w:cs="Calibri"/>
                      <w:color w:val="000000"/>
                      <w:sz w:val="22"/>
                      <w:szCs w:val="22"/>
                      <w:lang w:eastAsia="en-GB"/>
                    </w:rPr>
                  </w:pPr>
                  <w:r w:rsidRPr="00156A90">
                    <w:rPr>
                      <w:rFonts w:ascii="Calibri" w:hAnsi="Calibri" w:cs="Calibri"/>
                      <w:color w:val="000000"/>
                      <w:sz w:val="22"/>
                      <w:szCs w:val="22"/>
                      <w:lang w:eastAsia="en-GB"/>
                    </w:rPr>
                    <w:t>19/20-21/22*</w:t>
                  </w:r>
                </w:p>
              </w:tc>
              <w:tc>
                <w:tcPr>
                  <w:tcW w:w="1276" w:type="dxa"/>
                  <w:tcBorders>
                    <w:top w:val="nil"/>
                    <w:left w:val="nil"/>
                    <w:bottom w:val="single" w:sz="4" w:space="0" w:color="auto"/>
                    <w:right w:val="single" w:sz="4" w:space="0" w:color="auto"/>
                  </w:tcBorders>
                  <w:shd w:val="clear" w:color="auto" w:fill="auto"/>
                  <w:noWrap/>
                  <w:vAlign w:val="bottom"/>
                  <w:hideMark/>
                </w:tcPr>
                <w:p w14:paraId="65088189"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25</w:t>
                  </w:r>
                </w:p>
              </w:tc>
              <w:tc>
                <w:tcPr>
                  <w:tcW w:w="992" w:type="dxa"/>
                  <w:tcBorders>
                    <w:top w:val="nil"/>
                    <w:left w:val="nil"/>
                    <w:bottom w:val="single" w:sz="4" w:space="0" w:color="auto"/>
                    <w:right w:val="single" w:sz="4" w:space="0" w:color="auto"/>
                  </w:tcBorders>
                  <w:shd w:val="clear" w:color="auto" w:fill="auto"/>
                  <w:noWrap/>
                  <w:vAlign w:val="bottom"/>
                  <w:hideMark/>
                </w:tcPr>
                <w:p w14:paraId="125E4F9F"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33</w:t>
                  </w:r>
                </w:p>
              </w:tc>
              <w:tc>
                <w:tcPr>
                  <w:tcW w:w="1418" w:type="dxa"/>
                  <w:tcBorders>
                    <w:top w:val="nil"/>
                    <w:left w:val="nil"/>
                    <w:bottom w:val="single" w:sz="4" w:space="0" w:color="auto"/>
                    <w:right w:val="single" w:sz="4" w:space="0" w:color="auto"/>
                  </w:tcBorders>
                  <w:shd w:val="clear" w:color="auto" w:fill="auto"/>
                  <w:noWrap/>
                  <w:vAlign w:val="bottom"/>
                  <w:hideMark/>
                </w:tcPr>
                <w:p w14:paraId="47213AFD"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22</w:t>
                  </w:r>
                </w:p>
              </w:tc>
              <w:tc>
                <w:tcPr>
                  <w:tcW w:w="1276" w:type="dxa"/>
                  <w:tcBorders>
                    <w:top w:val="nil"/>
                    <w:left w:val="nil"/>
                    <w:bottom w:val="single" w:sz="4" w:space="0" w:color="auto"/>
                    <w:right w:val="single" w:sz="4" w:space="0" w:color="auto"/>
                  </w:tcBorders>
                  <w:shd w:val="clear" w:color="auto" w:fill="auto"/>
                  <w:noWrap/>
                  <w:vAlign w:val="bottom"/>
                  <w:hideMark/>
                </w:tcPr>
                <w:p w14:paraId="60E0C689" w14:textId="77777777" w:rsidR="00156A90" w:rsidRPr="00156A90" w:rsidRDefault="00156A90" w:rsidP="00156A90">
                  <w:pPr>
                    <w:jc w:val="right"/>
                    <w:rPr>
                      <w:rFonts w:ascii="Calibri" w:hAnsi="Calibri" w:cs="Calibri"/>
                      <w:color w:val="000000"/>
                      <w:sz w:val="22"/>
                      <w:szCs w:val="22"/>
                      <w:lang w:eastAsia="en-GB"/>
                    </w:rPr>
                  </w:pPr>
                  <w:r w:rsidRPr="00156A90">
                    <w:rPr>
                      <w:rFonts w:ascii="Calibri" w:hAnsi="Calibri" w:cs="Calibri"/>
                      <w:color w:val="000000"/>
                      <w:sz w:val="22"/>
                      <w:szCs w:val="22"/>
                      <w:lang w:eastAsia="en-GB"/>
                    </w:rPr>
                    <w:t>23</w:t>
                  </w:r>
                </w:p>
              </w:tc>
            </w:tr>
          </w:tbl>
          <w:p w14:paraId="6CC2B765" w14:textId="178F2D27" w:rsidR="00156A90" w:rsidRDefault="00156A90" w:rsidP="00192936"/>
          <w:p w14:paraId="6AC3E1F2" w14:textId="1B89F049" w:rsidR="00156A90" w:rsidRDefault="00156A90" w:rsidP="00192936">
            <w:r w:rsidRPr="00156A90">
              <w:t>* Due to the Coronavirus pandemic affecting the Family Resources Survey, there are no data for regions for 2020/21, so data presented including that year are averages from the two remaining years. Because of this and lower response rates in 2021/22, there is increased uncertainty in these estimates.</w:t>
            </w:r>
          </w:p>
          <w:p w14:paraId="66D8BD62" w14:textId="69EAB8DC" w:rsidR="00156A90" w:rsidRPr="003E202F" w:rsidRDefault="00156A90" w:rsidP="00192936"/>
        </w:tc>
      </w:tr>
    </w:tbl>
    <w:p w14:paraId="06588146" w14:textId="77777777" w:rsidR="00714E4E" w:rsidRDefault="00714E4E"/>
    <w:p w14:paraId="601F4063" w14:textId="1F9B8B86" w:rsidR="00834E7B" w:rsidRPr="007F62FB" w:rsidRDefault="00834E7B" w:rsidP="00834E7B">
      <w:pPr>
        <w:rPr>
          <w:b/>
          <w:bCs/>
        </w:rPr>
      </w:pPr>
      <w:r w:rsidRPr="007F62FB">
        <w:rPr>
          <w:b/>
          <w:bCs/>
        </w:rPr>
        <w:t xml:space="preserve">Commentary – </w:t>
      </w:r>
      <w:r>
        <w:rPr>
          <w:b/>
          <w:bCs/>
        </w:rPr>
        <w:t>living standards</w:t>
      </w:r>
    </w:p>
    <w:p w14:paraId="66F7A29C" w14:textId="6DB35F69" w:rsidR="003670C3" w:rsidRDefault="003670C3" w:rsidP="00AE6F19">
      <w:pPr>
        <w:pStyle w:val="ListParagraph"/>
        <w:numPr>
          <w:ilvl w:val="0"/>
          <w:numId w:val="9"/>
        </w:numPr>
      </w:pPr>
      <w:r w:rsidRPr="003670C3">
        <w:lastRenderedPageBreak/>
        <w:t xml:space="preserve">Disposable household income after basic housing costs – rent, mortgage interest payments, council tax etc, but not fuel or food – is around £540 per week for </w:t>
      </w:r>
      <w:r>
        <w:t xml:space="preserve">a </w:t>
      </w:r>
      <w:r w:rsidRPr="003670C3">
        <w:t xml:space="preserve">household </w:t>
      </w:r>
      <w:r>
        <w:t xml:space="preserve">in London </w:t>
      </w:r>
      <w:r w:rsidRPr="003670C3">
        <w:t xml:space="preserve">formed of a couple with no children at the middle of the income distribution, with the </w:t>
      </w:r>
      <w:r>
        <w:t>average</w:t>
      </w:r>
      <w:r w:rsidRPr="003670C3">
        <w:t xml:space="preserve"> having grown in recent years</w:t>
      </w:r>
      <w:r>
        <w:t>.</w:t>
      </w:r>
      <w:r w:rsidR="00F61472">
        <w:t xml:space="preserve"> </w:t>
      </w:r>
      <w:r w:rsidRPr="003670C3">
        <w:t xml:space="preserve">To compare over time, the figure is adjusted for earlier years using an overall national inflation measure. </w:t>
      </w:r>
    </w:p>
    <w:p w14:paraId="06654C44" w14:textId="3915FB38" w:rsidR="003670C3" w:rsidRDefault="00B87A10" w:rsidP="00834E7B">
      <w:pPr>
        <w:pStyle w:val="ListParagraph"/>
        <w:numPr>
          <w:ilvl w:val="0"/>
          <w:numId w:val="9"/>
        </w:numPr>
      </w:pPr>
      <w:r w:rsidRPr="00B87A10">
        <w:t>Around 2.2 million Londoners (25 per cent) were in relative poverty after taking housing costs into account in 2019/20-2021/22</w:t>
      </w:r>
      <w:r>
        <w:t xml:space="preserve">. </w:t>
      </w:r>
      <w:r w:rsidRPr="00B87A10">
        <w:t>This has fallen since the run-up to the pandemic from 2.4 million Londoners (27 per cent) living in relative poverty.</w:t>
      </w:r>
    </w:p>
    <w:p w14:paraId="1B53768D" w14:textId="1272C43C" w:rsidR="00B87A10" w:rsidRDefault="00B87A10" w:rsidP="00834E7B">
      <w:pPr>
        <w:pStyle w:val="ListParagraph"/>
        <w:numPr>
          <w:ilvl w:val="0"/>
          <w:numId w:val="9"/>
        </w:numPr>
      </w:pPr>
      <w:r w:rsidRPr="00B87A10">
        <w:t>However, issues with carrying out surveys during the pandemic and reduced response rates since March 2020 mean there is increased uncertainty in the figures.</w:t>
      </w:r>
    </w:p>
    <w:p w14:paraId="57DEE99E" w14:textId="43DD3614" w:rsidR="00B87A10" w:rsidRDefault="00B87A10" w:rsidP="00834E7B">
      <w:pPr>
        <w:pStyle w:val="ListParagraph"/>
        <w:numPr>
          <w:ilvl w:val="0"/>
          <w:numId w:val="9"/>
        </w:numPr>
      </w:pPr>
      <w:r w:rsidRPr="00B87A10">
        <w:t>Children are most likely to be living below the poverty line, though this has fallen to one in three of London’s children in low</w:t>
      </w:r>
      <w:r>
        <w:t>-</w:t>
      </w:r>
      <w:r w:rsidRPr="00B87A10">
        <w:t>income households in the latest estimates, while the proportion of London’s pension-aged population living in poverty is also above the rate among working-age Londoners in the latest figures. The estimates for all age groups have fallen sharply in the latest figures, for 2019/20-2021/22.</w:t>
      </w:r>
    </w:p>
    <w:p w14:paraId="48A119D2" w14:textId="3B6FAE6D" w:rsidR="00714E4E" w:rsidRDefault="00714E4E">
      <w:r>
        <w:br w:type="page"/>
      </w:r>
    </w:p>
    <w:p w14:paraId="46835434" w14:textId="105FBAD0" w:rsidR="00714E4E" w:rsidRPr="00DB054F" w:rsidRDefault="00714E4E" w:rsidP="00DB054F">
      <w:pPr>
        <w:jc w:val="center"/>
        <w:rPr>
          <w:b/>
          <w:bCs/>
          <w:sz w:val="32"/>
          <w:szCs w:val="32"/>
        </w:rPr>
      </w:pPr>
      <w:r w:rsidRPr="00DB054F">
        <w:rPr>
          <w:b/>
          <w:bCs/>
          <w:sz w:val="32"/>
          <w:szCs w:val="32"/>
        </w:rPr>
        <w:lastRenderedPageBreak/>
        <w:t>Equity in Public Services</w:t>
      </w:r>
    </w:p>
    <w:p w14:paraId="2B1E109A" w14:textId="77777777" w:rsidR="00714E4E" w:rsidRDefault="00714E4E"/>
    <w:tbl>
      <w:tblPr>
        <w:tblStyle w:val="TableGrid"/>
        <w:tblW w:w="0" w:type="auto"/>
        <w:tblLayout w:type="fixed"/>
        <w:tblLook w:val="04A0" w:firstRow="1" w:lastRow="0" w:firstColumn="1" w:lastColumn="0" w:noHBand="0" w:noVBand="1"/>
      </w:tblPr>
      <w:tblGrid>
        <w:gridCol w:w="1115"/>
        <w:gridCol w:w="4727"/>
        <w:gridCol w:w="3174"/>
      </w:tblGrid>
      <w:tr w:rsidR="004E385F" w:rsidRPr="00DB054F" w14:paraId="4301B9F9" w14:textId="77777777" w:rsidTr="00622F3A">
        <w:tc>
          <w:tcPr>
            <w:tcW w:w="1115" w:type="dxa"/>
            <w:shd w:val="clear" w:color="auto" w:fill="008D48"/>
          </w:tcPr>
          <w:p w14:paraId="52E57CA4" w14:textId="32F3C967" w:rsidR="004E385F" w:rsidRPr="00DB054F" w:rsidRDefault="004E385F" w:rsidP="004E385F">
            <w:pPr>
              <w:rPr>
                <w:b/>
                <w:bCs/>
                <w:color w:val="FFFFFF" w:themeColor="background1"/>
              </w:rPr>
            </w:pPr>
            <w:r>
              <w:rPr>
                <w:b/>
                <w:bCs/>
                <w:color w:val="FFFFFF" w:themeColor="background1"/>
              </w:rPr>
              <w:t>Measure number</w:t>
            </w:r>
          </w:p>
        </w:tc>
        <w:tc>
          <w:tcPr>
            <w:tcW w:w="4727" w:type="dxa"/>
            <w:shd w:val="clear" w:color="auto" w:fill="008D48"/>
          </w:tcPr>
          <w:p w14:paraId="48EB7632" w14:textId="0A722D0D" w:rsidR="004E385F" w:rsidRPr="00DB054F" w:rsidRDefault="004E385F" w:rsidP="004E385F">
            <w:pPr>
              <w:rPr>
                <w:b/>
                <w:bCs/>
                <w:color w:val="FFFFFF" w:themeColor="background1"/>
              </w:rPr>
            </w:pPr>
            <w:r>
              <w:rPr>
                <w:b/>
                <w:bCs/>
                <w:color w:val="FFFFFF" w:themeColor="background1"/>
              </w:rPr>
              <w:t>Measure description</w:t>
            </w:r>
          </w:p>
        </w:tc>
        <w:tc>
          <w:tcPr>
            <w:tcW w:w="3174" w:type="dxa"/>
            <w:shd w:val="clear" w:color="auto" w:fill="008D48"/>
          </w:tcPr>
          <w:p w14:paraId="175C1797" w14:textId="17A48866" w:rsidR="004E385F" w:rsidRPr="00DB054F" w:rsidRDefault="004E385F" w:rsidP="004E385F">
            <w:pPr>
              <w:rPr>
                <w:b/>
                <w:bCs/>
                <w:color w:val="FFFFFF" w:themeColor="background1"/>
              </w:rPr>
            </w:pPr>
            <w:r>
              <w:rPr>
                <w:b/>
                <w:bCs/>
                <w:color w:val="FFFFFF" w:themeColor="background1"/>
              </w:rPr>
              <w:t>Source</w:t>
            </w:r>
          </w:p>
        </w:tc>
      </w:tr>
      <w:tr w:rsidR="004E385F" w:rsidRPr="003E202F" w14:paraId="229F7058" w14:textId="77777777" w:rsidTr="00622F3A">
        <w:tc>
          <w:tcPr>
            <w:tcW w:w="1115" w:type="dxa"/>
            <w:vMerge w:val="restart"/>
            <w:vAlign w:val="center"/>
          </w:tcPr>
          <w:p w14:paraId="53A8A97A" w14:textId="496E90E1" w:rsidR="004E385F" w:rsidRPr="003E202F" w:rsidRDefault="004E385F" w:rsidP="004E385F">
            <w:r>
              <w:t>5</w:t>
            </w:r>
          </w:p>
        </w:tc>
        <w:tc>
          <w:tcPr>
            <w:tcW w:w="4727" w:type="dxa"/>
          </w:tcPr>
          <w:p w14:paraId="7D7A62E7" w14:textId="77777777" w:rsidR="004E385F" w:rsidRDefault="004E385F" w:rsidP="004E385F">
            <w:pPr>
              <w:rPr>
                <w:b/>
                <w:bCs/>
              </w:rPr>
            </w:pPr>
            <w:r w:rsidRPr="004E385F">
              <w:rPr>
                <w:b/>
                <w:bCs/>
              </w:rPr>
              <w:t>Institutional trust</w:t>
            </w:r>
            <w:r>
              <w:rPr>
                <w:b/>
                <w:bCs/>
              </w:rPr>
              <w:t>:</w:t>
            </w:r>
          </w:p>
          <w:p w14:paraId="610191A8" w14:textId="1A255BF2" w:rsidR="004E385F" w:rsidRPr="00F45CA7" w:rsidRDefault="006B1221" w:rsidP="004E385F">
            <w:r w:rsidRPr="006B1221">
              <w:t>Proportion of Londoners who trust various services, using a five-point scale where 1 is 'Very trustworthy' and 5 is 'Very untrustworthy' (%); scores ‘1’ &amp; ‘2’ have been combined to create a ‘trustworthy’ variable</w:t>
            </w:r>
          </w:p>
        </w:tc>
        <w:tc>
          <w:tcPr>
            <w:tcW w:w="3174" w:type="dxa"/>
          </w:tcPr>
          <w:p w14:paraId="143DD19F" w14:textId="2ACDDE48" w:rsidR="004E385F" w:rsidRPr="000471F1" w:rsidRDefault="00F77F5C" w:rsidP="004E385F">
            <w:hyperlink r:id="rId21" w:history="1">
              <w:r w:rsidR="004E385F" w:rsidRPr="006B348A">
                <w:rPr>
                  <w:rStyle w:val="Hyperlink"/>
                </w:rPr>
                <w:t>State of London polling by YouGov</w:t>
              </w:r>
            </w:hyperlink>
          </w:p>
        </w:tc>
      </w:tr>
      <w:tr w:rsidR="004E385F" w:rsidRPr="003E202F" w14:paraId="7EBA8CD1" w14:textId="77777777" w:rsidTr="00622F3A">
        <w:tc>
          <w:tcPr>
            <w:tcW w:w="1115" w:type="dxa"/>
            <w:vMerge/>
          </w:tcPr>
          <w:p w14:paraId="59A5A08E" w14:textId="77777777" w:rsidR="004E385F" w:rsidRDefault="004E385F" w:rsidP="004E385F"/>
        </w:tc>
        <w:tc>
          <w:tcPr>
            <w:tcW w:w="7901" w:type="dxa"/>
            <w:gridSpan w:val="2"/>
          </w:tcPr>
          <w:p w14:paraId="420D5774" w14:textId="77777777" w:rsidR="004E385F" w:rsidRDefault="004E385F" w:rsidP="004E385F"/>
          <w:tbl>
            <w:tblPr>
              <w:tblW w:w="0" w:type="auto"/>
              <w:tblLayout w:type="fixed"/>
              <w:tblLook w:val="04A0" w:firstRow="1" w:lastRow="0" w:firstColumn="1" w:lastColumn="0" w:noHBand="0" w:noVBand="1"/>
            </w:tblPr>
            <w:tblGrid>
              <w:gridCol w:w="2674"/>
              <w:gridCol w:w="834"/>
              <w:gridCol w:w="834"/>
              <w:gridCol w:w="834"/>
              <w:gridCol w:w="834"/>
              <w:gridCol w:w="834"/>
              <w:gridCol w:w="835"/>
            </w:tblGrid>
            <w:tr w:rsidR="009843B1" w:rsidRPr="006B1221" w14:paraId="17ED5FC5" w14:textId="45CBDC5A" w:rsidTr="00622F3A">
              <w:trPr>
                <w:trHeight w:val="300"/>
              </w:trPr>
              <w:tc>
                <w:tcPr>
                  <w:tcW w:w="2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4B65E" w14:textId="77777777" w:rsidR="009843B1" w:rsidRPr="006B1221" w:rsidRDefault="009843B1" w:rsidP="009843B1">
                  <w:pPr>
                    <w:rPr>
                      <w:rFonts w:ascii="Calibri" w:hAnsi="Calibri" w:cs="Calibri"/>
                      <w:color w:val="000000"/>
                      <w:sz w:val="22"/>
                      <w:szCs w:val="22"/>
                      <w:lang w:eastAsia="en-GB"/>
                    </w:rPr>
                  </w:pPr>
                  <w:r w:rsidRPr="006B1221">
                    <w:rPr>
                      <w:rFonts w:ascii="Calibri" w:hAnsi="Calibri" w:cs="Calibri"/>
                      <w:color w:val="000000"/>
                      <w:sz w:val="22"/>
                      <w:szCs w:val="22"/>
                      <w:lang w:eastAsia="en-GB"/>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14:paraId="156510C3" w14:textId="77777777" w:rsidR="009843B1" w:rsidRPr="006B1221" w:rsidRDefault="009843B1" w:rsidP="009843B1">
                  <w:pPr>
                    <w:jc w:val="right"/>
                    <w:rPr>
                      <w:rFonts w:ascii="Calibri" w:hAnsi="Calibri" w:cs="Calibri"/>
                      <w:b/>
                      <w:bCs/>
                      <w:color w:val="000000"/>
                      <w:sz w:val="22"/>
                      <w:szCs w:val="22"/>
                      <w:lang w:eastAsia="en-GB"/>
                    </w:rPr>
                  </w:pPr>
                  <w:r w:rsidRPr="006B1221">
                    <w:rPr>
                      <w:rFonts w:ascii="Calibri" w:hAnsi="Calibri" w:cs="Calibri"/>
                      <w:b/>
                      <w:bCs/>
                      <w:color w:val="000000"/>
                      <w:sz w:val="22"/>
                      <w:szCs w:val="22"/>
                      <w:lang w:eastAsia="en-GB"/>
                    </w:rPr>
                    <w:t>Feb-22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14:paraId="6140CFCC" w14:textId="77777777" w:rsidR="009843B1" w:rsidRPr="006B1221" w:rsidRDefault="009843B1" w:rsidP="009843B1">
                  <w:pPr>
                    <w:jc w:val="right"/>
                    <w:rPr>
                      <w:rFonts w:ascii="Calibri" w:hAnsi="Calibri" w:cs="Calibri"/>
                      <w:b/>
                      <w:bCs/>
                      <w:color w:val="000000"/>
                      <w:sz w:val="22"/>
                      <w:szCs w:val="22"/>
                      <w:lang w:eastAsia="en-GB"/>
                    </w:rPr>
                  </w:pPr>
                  <w:r w:rsidRPr="006B1221">
                    <w:rPr>
                      <w:rFonts w:ascii="Calibri" w:hAnsi="Calibri" w:cs="Calibri"/>
                      <w:b/>
                      <w:bCs/>
                      <w:color w:val="000000"/>
                      <w:sz w:val="22"/>
                      <w:szCs w:val="22"/>
                      <w:lang w:eastAsia="en-GB"/>
                    </w:rPr>
                    <w:t>May-22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14:paraId="0E709F7A" w14:textId="77777777" w:rsidR="009843B1" w:rsidRPr="006B1221" w:rsidRDefault="009843B1" w:rsidP="009843B1">
                  <w:pPr>
                    <w:jc w:val="right"/>
                    <w:rPr>
                      <w:rFonts w:ascii="Calibri" w:hAnsi="Calibri" w:cs="Calibri"/>
                      <w:b/>
                      <w:bCs/>
                      <w:color w:val="000000"/>
                      <w:sz w:val="22"/>
                      <w:szCs w:val="22"/>
                      <w:lang w:eastAsia="en-GB"/>
                    </w:rPr>
                  </w:pPr>
                  <w:r w:rsidRPr="006B1221">
                    <w:rPr>
                      <w:rFonts w:ascii="Calibri" w:hAnsi="Calibri" w:cs="Calibri"/>
                      <w:b/>
                      <w:bCs/>
                      <w:color w:val="000000"/>
                      <w:sz w:val="22"/>
                      <w:szCs w:val="22"/>
                      <w:lang w:eastAsia="en-GB"/>
                    </w:rPr>
                    <w:t>Aug-22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14:paraId="11A2C10C" w14:textId="77777777" w:rsidR="009843B1" w:rsidRPr="006B1221" w:rsidRDefault="009843B1" w:rsidP="009843B1">
                  <w:pPr>
                    <w:jc w:val="right"/>
                    <w:rPr>
                      <w:rFonts w:ascii="Calibri" w:hAnsi="Calibri" w:cs="Calibri"/>
                      <w:b/>
                      <w:bCs/>
                      <w:color w:val="000000"/>
                      <w:sz w:val="22"/>
                      <w:szCs w:val="22"/>
                      <w:lang w:eastAsia="en-GB"/>
                    </w:rPr>
                  </w:pPr>
                  <w:r w:rsidRPr="006B1221">
                    <w:rPr>
                      <w:rFonts w:ascii="Calibri" w:hAnsi="Calibri" w:cs="Calibri"/>
                      <w:b/>
                      <w:bCs/>
                      <w:color w:val="000000"/>
                      <w:sz w:val="22"/>
                      <w:szCs w:val="22"/>
                      <w:lang w:eastAsia="en-GB"/>
                    </w:rPr>
                    <w:t>Nov-22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14:paraId="2BD4A5E7" w14:textId="77777777" w:rsidR="009843B1" w:rsidRPr="006B1221" w:rsidRDefault="009843B1" w:rsidP="009843B1">
                  <w:pPr>
                    <w:jc w:val="right"/>
                    <w:rPr>
                      <w:rFonts w:ascii="Calibri" w:hAnsi="Calibri" w:cs="Calibri"/>
                      <w:b/>
                      <w:bCs/>
                      <w:color w:val="000000"/>
                      <w:sz w:val="22"/>
                      <w:szCs w:val="22"/>
                      <w:lang w:eastAsia="en-GB"/>
                    </w:rPr>
                  </w:pPr>
                  <w:r w:rsidRPr="006B1221">
                    <w:rPr>
                      <w:rFonts w:ascii="Calibri" w:hAnsi="Calibri" w:cs="Calibri"/>
                      <w:b/>
                      <w:bCs/>
                      <w:color w:val="000000"/>
                      <w:sz w:val="22"/>
                      <w:szCs w:val="22"/>
                      <w:lang w:eastAsia="en-GB"/>
                    </w:rPr>
                    <w:t>Feb-23</w:t>
                  </w:r>
                </w:p>
              </w:tc>
              <w:tc>
                <w:tcPr>
                  <w:tcW w:w="835" w:type="dxa"/>
                  <w:tcBorders>
                    <w:top w:val="single" w:sz="4" w:space="0" w:color="auto"/>
                    <w:left w:val="nil"/>
                    <w:bottom w:val="single" w:sz="4" w:space="0" w:color="auto"/>
                    <w:right w:val="single" w:sz="4" w:space="0" w:color="auto"/>
                  </w:tcBorders>
                  <w:vAlign w:val="bottom"/>
                </w:tcPr>
                <w:p w14:paraId="11420070" w14:textId="4F660AA5" w:rsidR="009843B1" w:rsidRPr="006B1221" w:rsidRDefault="009843B1" w:rsidP="009843B1">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May</w:t>
                  </w:r>
                  <w:r w:rsidRPr="006B1221">
                    <w:rPr>
                      <w:rFonts w:ascii="Calibri" w:hAnsi="Calibri" w:cs="Calibri"/>
                      <w:b/>
                      <w:bCs/>
                      <w:color w:val="000000"/>
                      <w:sz w:val="22"/>
                      <w:szCs w:val="22"/>
                      <w:lang w:eastAsia="en-GB"/>
                    </w:rPr>
                    <w:t>-23</w:t>
                  </w:r>
                </w:p>
              </w:tc>
            </w:tr>
            <w:tr w:rsidR="009843B1" w:rsidRPr="006B1221" w14:paraId="5764948C" w14:textId="4F00B2CB"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087FBBAC" w14:textId="77777777" w:rsidR="009843B1" w:rsidRPr="006B1221" w:rsidRDefault="009843B1" w:rsidP="009843B1">
                  <w:pPr>
                    <w:rPr>
                      <w:rFonts w:ascii="Calibri" w:hAnsi="Calibri" w:cs="Calibri"/>
                      <w:color w:val="000000"/>
                      <w:sz w:val="22"/>
                      <w:szCs w:val="22"/>
                      <w:lang w:eastAsia="en-GB"/>
                    </w:rPr>
                  </w:pPr>
                  <w:r w:rsidRPr="006B1221">
                    <w:rPr>
                      <w:rFonts w:ascii="Calibri" w:hAnsi="Calibri" w:cs="Calibri"/>
                      <w:color w:val="000000"/>
                      <w:sz w:val="22"/>
                      <w:szCs w:val="22"/>
                      <w:lang w:eastAsia="en-GB"/>
                    </w:rPr>
                    <w:t>Your own GP</w:t>
                  </w:r>
                </w:p>
              </w:tc>
              <w:tc>
                <w:tcPr>
                  <w:tcW w:w="834" w:type="dxa"/>
                  <w:tcBorders>
                    <w:top w:val="nil"/>
                    <w:left w:val="nil"/>
                    <w:bottom w:val="single" w:sz="4" w:space="0" w:color="auto"/>
                    <w:right w:val="single" w:sz="4" w:space="0" w:color="auto"/>
                  </w:tcBorders>
                  <w:shd w:val="clear" w:color="auto" w:fill="auto"/>
                  <w:noWrap/>
                  <w:vAlign w:val="bottom"/>
                  <w:hideMark/>
                </w:tcPr>
                <w:p w14:paraId="274F6451"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52%</w:t>
                  </w:r>
                </w:p>
              </w:tc>
              <w:tc>
                <w:tcPr>
                  <w:tcW w:w="834" w:type="dxa"/>
                  <w:tcBorders>
                    <w:top w:val="nil"/>
                    <w:left w:val="nil"/>
                    <w:bottom w:val="single" w:sz="4" w:space="0" w:color="auto"/>
                    <w:right w:val="single" w:sz="4" w:space="0" w:color="auto"/>
                  </w:tcBorders>
                  <w:shd w:val="clear" w:color="auto" w:fill="auto"/>
                  <w:noWrap/>
                  <w:vAlign w:val="bottom"/>
                  <w:hideMark/>
                </w:tcPr>
                <w:p w14:paraId="2BC83F0F"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53%</w:t>
                  </w:r>
                </w:p>
              </w:tc>
              <w:tc>
                <w:tcPr>
                  <w:tcW w:w="834" w:type="dxa"/>
                  <w:tcBorders>
                    <w:top w:val="nil"/>
                    <w:left w:val="nil"/>
                    <w:bottom w:val="single" w:sz="4" w:space="0" w:color="auto"/>
                    <w:right w:val="single" w:sz="4" w:space="0" w:color="auto"/>
                  </w:tcBorders>
                  <w:shd w:val="clear" w:color="auto" w:fill="auto"/>
                  <w:noWrap/>
                  <w:vAlign w:val="bottom"/>
                  <w:hideMark/>
                </w:tcPr>
                <w:p w14:paraId="3C27EECD"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48%</w:t>
                  </w:r>
                </w:p>
              </w:tc>
              <w:tc>
                <w:tcPr>
                  <w:tcW w:w="834" w:type="dxa"/>
                  <w:tcBorders>
                    <w:top w:val="nil"/>
                    <w:left w:val="nil"/>
                    <w:bottom w:val="single" w:sz="4" w:space="0" w:color="auto"/>
                    <w:right w:val="single" w:sz="4" w:space="0" w:color="auto"/>
                  </w:tcBorders>
                  <w:shd w:val="clear" w:color="auto" w:fill="auto"/>
                  <w:noWrap/>
                  <w:vAlign w:val="bottom"/>
                  <w:hideMark/>
                </w:tcPr>
                <w:p w14:paraId="63010BD5"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48%</w:t>
                  </w:r>
                </w:p>
              </w:tc>
              <w:tc>
                <w:tcPr>
                  <w:tcW w:w="834" w:type="dxa"/>
                  <w:tcBorders>
                    <w:top w:val="nil"/>
                    <w:left w:val="nil"/>
                    <w:bottom w:val="single" w:sz="4" w:space="0" w:color="auto"/>
                    <w:right w:val="single" w:sz="4" w:space="0" w:color="auto"/>
                  </w:tcBorders>
                  <w:shd w:val="clear" w:color="auto" w:fill="auto"/>
                  <w:noWrap/>
                  <w:vAlign w:val="bottom"/>
                  <w:hideMark/>
                </w:tcPr>
                <w:p w14:paraId="3A2FD0A8"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48%</w:t>
                  </w:r>
                </w:p>
              </w:tc>
              <w:tc>
                <w:tcPr>
                  <w:tcW w:w="835" w:type="dxa"/>
                  <w:tcBorders>
                    <w:top w:val="single" w:sz="4" w:space="0" w:color="auto"/>
                    <w:left w:val="nil"/>
                    <w:bottom w:val="single" w:sz="4" w:space="0" w:color="auto"/>
                    <w:right w:val="single" w:sz="4" w:space="0" w:color="auto"/>
                  </w:tcBorders>
                  <w:vAlign w:val="bottom"/>
                </w:tcPr>
                <w:p w14:paraId="1FA0BF4A" w14:textId="71EC1F47" w:rsidR="009843B1"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45%</w:t>
                  </w:r>
                </w:p>
              </w:tc>
            </w:tr>
            <w:tr w:rsidR="009843B1" w:rsidRPr="006B1221" w14:paraId="1F596E16" w14:textId="41A7214A"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48A39EB1" w14:textId="77777777" w:rsidR="009843B1" w:rsidRPr="006B1221" w:rsidRDefault="009843B1" w:rsidP="009843B1">
                  <w:pPr>
                    <w:rPr>
                      <w:rFonts w:ascii="Calibri" w:hAnsi="Calibri" w:cs="Calibri"/>
                      <w:color w:val="000000"/>
                      <w:sz w:val="22"/>
                      <w:szCs w:val="22"/>
                      <w:lang w:eastAsia="en-GB"/>
                    </w:rPr>
                  </w:pPr>
                  <w:r w:rsidRPr="006B1221">
                    <w:rPr>
                      <w:rFonts w:ascii="Calibri" w:hAnsi="Calibri" w:cs="Calibri"/>
                      <w:color w:val="000000"/>
                      <w:sz w:val="22"/>
                      <w:szCs w:val="22"/>
                      <w:lang w:eastAsia="en-GB"/>
                    </w:rPr>
                    <w:t>Your local hospital</w:t>
                  </w:r>
                </w:p>
              </w:tc>
              <w:tc>
                <w:tcPr>
                  <w:tcW w:w="834" w:type="dxa"/>
                  <w:tcBorders>
                    <w:top w:val="nil"/>
                    <w:left w:val="nil"/>
                    <w:bottom w:val="single" w:sz="4" w:space="0" w:color="auto"/>
                    <w:right w:val="single" w:sz="4" w:space="0" w:color="auto"/>
                  </w:tcBorders>
                  <w:shd w:val="clear" w:color="auto" w:fill="auto"/>
                  <w:noWrap/>
                  <w:vAlign w:val="bottom"/>
                  <w:hideMark/>
                </w:tcPr>
                <w:p w14:paraId="480BD25A"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51%</w:t>
                  </w:r>
                </w:p>
              </w:tc>
              <w:tc>
                <w:tcPr>
                  <w:tcW w:w="834" w:type="dxa"/>
                  <w:tcBorders>
                    <w:top w:val="nil"/>
                    <w:left w:val="nil"/>
                    <w:bottom w:val="single" w:sz="4" w:space="0" w:color="auto"/>
                    <w:right w:val="single" w:sz="4" w:space="0" w:color="auto"/>
                  </w:tcBorders>
                  <w:shd w:val="clear" w:color="auto" w:fill="auto"/>
                  <w:noWrap/>
                  <w:vAlign w:val="bottom"/>
                  <w:hideMark/>
                </w:tcPr>
                <w:p w14:paraId="0891AFAC"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48%</w:t>
                  </w:r>
                </w:p>
              </w:tc>
              <w:tc>
                <w:tcPr>
                  <w:tcW w:w="834" w:type="dxa"/>
                  <w:tcBorders>
                    <w:top w:val="nil"/>
                    <w:left w:val="nil"/>
                    <w:bottom w:val="single" w:sz="4" w:space="0" w:color="auto"/>
                    <w:right w:val="single" w:sz="4" w:space="0" w:color="auto"/>
                  </w:tcBorders>
                  <w:shd w:val="clear" w:color="auto" w:fill="auto"/>
                  <w:noWrap/>
                  <w:vAlign w:val="bottom"/>
                  <w:hideMark/>
                </w:tcPr>
                <w:p w14:paraId="580D1F51"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47%</w:t>
                  </w:r>
                </w:p>
              </w:tc>
              <w:tc>
                <w:tcPr>
                  <w:tcW w:w="834" w:type="dxa"/>
                  <w:tcBorders>
                    <w:top w:val="nil"/>
                    <w:left w:val="nil"/>
                    <w:bottom w:val="single" w:sz="4" w:space="0" w:color="auto"/>
                    <w:right w:val="single" w:sz="4" w:space="0" w:color="auto"/>
                  </w:tcBorders>
                  <w:shd w:val="clear" w:color="auto" w:fill="auto"/>
                  <w:noWrap/>
                  <w:vAlign w:val="bottom"/>
                  <w:hideMark/>
                </w:tcPr>
                <w:p w14:paraId="0A774B5C"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44%</w:t>
                  </w:r>
                </w:p>
              </w:tc>
              <w:tc>
                <w:tcPr>
                  <w:tcW w:w="834" w:type="dxa"/>
                  <w:tcBorders>
                    <w:top w:val="nil"/>
                    <w:left w:val="nil"/>
                    <w:bottom w:val="single" w:sz="4" w:space="0" w:color="auto"/>
                    <w:right w:val="single" w:sz="4" w:space="0" w:color="auto"/>
                  </w:tcBorders>
                  <w:shd w:val="clear" w:color="auto" w:fill="auto"/>
                  <w:noWrap/>
                  <w:vAlign w:val="bottom"/>
                  <w:hideMark/>
                </w:tcPr>
                <w:p w14:paraId="1D92AF3D"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47%</w:t>
                  </w:r>
                </w:p>
              </w:tc>
              <w:tc>
                <w:tcPr>
                  <w:tcW w:w="835" w:type="dxa"/>
                  <w:tcBorders>
                    <w:top w:val="single" w:sz="4" w:space="0" w:color="auto"/>
                    <w:left w:val="nil"/>
                    <w:bottom w:val="single" w:sz="4" w:space="0" w:color="auto"/>
                    <w:right w:val="single" w:sz="4" w:space="0" w:color="auto"/>
                  </w:tcBorders>
                  <w:vAlign w:val="bottom"/>
                </w:tcPr>
                <w:p w14:paraId="003E59B7" w14:textId="2C8639E0" w:rsidR="009843B1"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41%</w:t>
                  </w:r>
                </w:p>
              </w:tc>
            </w:tr>
            <w:tr w:rsidR="009843B1" w:rsidRPr="006B1221" w14:paraId="5BC5B621" w14:textId="1010785F"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44E0FAF0" w14:textId="77777777" w:rsidR="009843B1" w:rsidRPr="006B1221" w:rsidRDefault="009843B1" w:rsidP="009843B1">
                  <w:pPr>
                    <w:rPr>
                      <w:rFonts w:ascii="Calibri" w:hAnsi="Calibri" w:cs="Calibri"/>
                      <w:color w:val="000000"/>
                      <w:sz w:val="22"/>
                      <w:szCs w:val="22"/>
                      <w:lang w:eastAsia="en-GB"/>
                    </w:rPr>
                  </w:pPr>
                  <w:r w:rsidRPr="006B1221">
                    <w:rPr>
                      <w:rFonts w:ascii="Calibri" w:hAnsi="Calibri" w:cs="Calibri"/>
                      <w:color w:val="000000"/>
                      <w:sz w:val="22"/>
                      <w:szCs w:val="22"/>
                      <w:lang w:eastAsia="en-GB"/>
                    </w:rPr>
                    <w:t>Schools in your local area</w:t>
                  </w:r>
                </w:p>
              </w:tc>
              <w:tc>
                <w:tcPr>
                  <w:tcW w:w="834" w:type="dxa"/>
                  <w:tcBorders>
                    <w:top w:val="nil"/>
                    <w:left w:val="nil"/>
                    <w:bottom w:val="single" w:sz="4" w:space="0" w:color="auto"/>
                    <w:right w:val="single" w:sz="4" w:space="0" w:color="auto"/>
                  </w:tcBorders>
                  <w:shd w:val="clear" w:color="auto" w:fill="auto"/>
                  <w:noWrap/>
                  <w:vAlign w:val="bottom"/>
                  <w:hideMark/>
                </w:tcPr>
                <w:p w14:paraId="0607A4D4"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34%</w:t>
                  </w:r>
                </w:p>
              </w:tc>
              <w:tc>
                <w:tcPr>
                  <w:tcW w:w="834" w:type="dxa"/>
                  <w:tcBorders>
                    <w:top w:val="nil"/>
                    <w:left w:val="nil"/>
                    <w:bottom w:val="single" w:sz="4" w:space="0" w:color="auto"/>
                    <w:right w:val="single" w:sz="4" w:space="0" w:color="auto"/>
                  </w:tcBorders>
                  <w:shd w:val="clear" w:color="auto" w:fill="auto"/>
                  <w:noWrap/>
                  <w:vAlign w:val="bottom"/>
                  <w:hideMark/>
                </w:tcPr>
                <w:p w14:paraId="6E4B121C"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37%</w:t>
                  </w:r>
                </w:p>
              </w:tc>
              <w:tc>
                <w:tcPr>
                  <w:tcW w:w="834" w:type="dxa"/>
                  <w:tcBorders>
                    <w:top w:val="nil"/>
                    <w:left w:val="nil"/>
                    <w:bottom w:val="single" w:sz="4" w:space="0" w:color="auto"/>
                    <w:right w:val="single" w:sz="4" w:space="0" w:color="auto"/>
                  </w:tcBorders>
                  <w:shd w:val="clear" w:color="auto" w:fill="auto"/>
                  <w:noWrap/>
                  <w:vAlign w:val="bottom"/>
                  <w:hideMark/>
                </w:tcPr>
                <w:p w14:paraId="5102A5BF"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35%</w:t>
                  </w:r>
                </w:p>
              </w:tc>
              <w:tc>
                <w:tcPr>
                  <w:tcW w:w="834" w:type="dxa"/>
                  <w:tcBorders>
                    <w:top w:val="nil"/>
                    <w:left w:val="nil"/>
                    <w:bottom w:val="single" w:sz="4" w:space="0" w:color="auto"/>
                    <w:right w:val="single" w:sz="4" w:space="0" w:color="auto"/>
                  </w:tcBorders>
                  <w:shd w:val="clear" w:color="auto" w:fill="auto"/>
                  <w:noWrap/>
                  <w:vAlign w:val="bottom"/>
                  <w:hideMark/>
                </w:tcPr>
                <w:p w14:paraId="6D9D67AD"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29%</w:t>
                  </w:r>
                </w:p>
              </w:tc>
              <w:tc>
                <w:tcPr>
                  <w:tcW w:w="834" w:type="dxa"/>
                  <w:tcBorders>
                    <w:top w:val="nil"/>
                    <w:left w:val="nil"/>
                    <w:bottom w:val="single" w:sz="4" w:space="0" w:color="auto"/>
                    <w:right w:val="single" w:sz="4" w:space="0" w:color="auto"/>
                  </w:tcBorders>
                  <w:shd w:val="clear" w:color="auto" w:fill="auto"/>
                  <w:noWrap/>
                  <w:vAlign w:val="bottom"/>
                  <w:hideMark/>
                </w:tcPr>
                <w:p w14:paraId="4A9F4924"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32%</w:t>
                  </w:r>
                </w:p>
              </w:tc>
              <w:tc>
                <w:tcPr>
                  <w:tcW w:w="835" w:type="dxa"/>
                  <w:tcBorders>
                    <w:top w:val="single" w:sz="4" w:space="0" w:color="auto"/>
                    <w:left w:val="nil"/>
                    <w:bottom w:val="single" w:sz="4" w:space="0" w:color="auto"/>
                    <w:right w:val="single" w:sz="4" w:space="0" w:color="auto"/>
                  </w:tcBorders>
                  <w:vAlign w:val="bottom"/>
                </w:tcPr>
                <w:p w14:paraId="0D7AA782" w14:textId="6E03A212" w:rsidR="009843B1"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31%</w:t>
                  </w:r>
                </w:p>
              </w:tc>
            </w:tr>
            <w:tr w:rsidR="009843B1" w:rsidRPr="006B1221" w14:paraId="0DDA7AD6" w14:textId="43714A42"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4AE8F7D7" w14:textId="77777777" w:rsidR="009843B1" w:rsidRPr="006B1221" w:rsidRDefault="009843B1" w:rsidP="009843B1">
                  <w:pPr>
                    <w:rPr>
                      <w:rFonts w:ascii="Calibri" w:hAnsi="Calibri" w:cs="Calibri"/>
                      <w:color w:val="000000"/>
                      <w:sz w:val="22"/>
                      <w:szCs w:val="22"/>
                      <w:lang w:eastAsia="en-GB"/>
                    </w:rPr>
                  </w:pPr>
                  <w:r w:rsidRPr="006B1221">
                    <w:rPr>
                      <w:rFonts w:ascii="Calibri" w:hAnsi="Calibri" w:cs="Calibri"/>
                      <w:color w:val="000000"/>
                      <w:sz w:val="22"/>
                      <w:szCs w:val="22"/>
                      <w:lang w:eastAsia="en-GB"/>
                    </w:rPr>
                    <w:t>Transport for London</w:t>
                  </w:r>
                </w:p>
              </w:tc>
              <w:tc>
                <w:tcPr>
                  <w:tcW w:w="834" w:type="dxa"/>
                  <w:tcBorders>
                    <w:top w:val="nil"/>
                    <w:left w:val="nil"/>
                    <w:bottom w:val="single" w:sz="4" w:space="0" w:color="auto"/>
                    <w:right w:val="single" w:sz="4" w:space="0" w:color="auto"/>
                  </w:tcBorders>
                  <w:shd w:val="clear" w:color="auto" w:fill="auto"/>
                  <w:noWrap/>
                  <w:vAlign w:val="bottom"/>
                  <w:hideMark/>
                </w:tcPr>
                <w:p w14:paraId="6678C380"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37%</w:t>
                  </w:r>
                </w:p>
              </w:tc>
              <w:tc>
                <w:tcPr>
                  <w:tcW w:w="834" w:type="dxa"/>
                  <w:tcBorders>
                    <w:top w:val="nil"/>
                    <w:left w:val="nil"/>
                    <w:bottom w:val="single" w:sz="4" w:space="0" w:color="auto"/>
                    <w:right w:val="single" w:sz="4" w:space="0" w:color="auto"/>
                  </w:tcBorders>
                  <w:shd w:val="clear" w:color="auto" w:fill="auto"/>
                  <w:noWrap/>
                  <w:vAlign w:val="bottom"/>
                  <w:hideMark/>
                </w:tcPr>
                <w:p w14:paraId="41F101E2"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35%</w:t>
                  </w:r>
                </w:p>
              </w:tc>
              <w:tc>
                <w:tcPr>
                  <w:tcW w:w="834" w:type="dxa"/>
                  <w:tcBorders>
                    <w:top w:val="nil"/>
                    <w:left w:val="nil"/>
                    <w:bottom w:val="single" w:sz="4" w:space="0" w:color="auto"/>
                    <w:right w:val="single" w:sz="4" w:space="0" w:color="auto"/>
                  </w:tcBorders>
                  <w:shd w:val="clear" w:color="auto" w:fill="auto"/>
                  <w:noWrap/>
                  <w:vAlign w:val="bottom"/>
                  <w:hideMark/>
                </w:tcPr>
                <w:p w14:paraId="55E202A8"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35%</w:t>
                  </w:r>
                </w:p>
              </w:tc>
              <w:tc>
                <w:tcPr>
                  <w:tcW w:w="834" w:type="dxa"/>
                  <w:tcBorders>
                    <w:top w:val="nil"/>
                    <w:left w:val="nil"/>
                    <w:bottom w:val="single" w:sz="4" w:space="0" w:color="auto"/>
                    <w:right w:val="single" w:sz="4" w:space="0" w:color="auto"/>
                  </w:tcBorders>
                  <w:shd w:val="clear" w:color="auto" w:fill="auto"/>
                  <w:noWrap/>
                  <w:vAlign w:val="bottom"/>
                  <w:hideMark/>
                </w:tcPr>
                <w:p w14:paraId="5A8CD2C7"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35%</w:t>
                  </w:r>
                </w:p>
              </w:tc>
              <w:tc>
                <w:tcPr>
                  <w:tcW w:w="834" w:type="dxa"/>
                  <w:tcBorders>
                    <w:top w:val="nil"/>
                    <w:left w:val="nil"/>
                    <w:bottom w:val="single" w:sz="4" w:space="0" w:color="auto"/>
                    <w:right w:val="single" w:sz="4" w:space="0" w:color="auto"/>
                  </w:tcBorders>
                  <w:shd w:val="clear" w:color="auto" w:fill="auto"/>
                  <w:noWrap/>
                  <w:vAlign w:val="bottom"/>
                  <w:hideMark/>
                </w:tcPr>
                <w:p w14:paraId="677EFDC6"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33%</w:t>
                  </w:r>
                </w:p>
              </w:tc>
              <w:tc>
                <w:tcPr>
                  <w:tcW w:w="835" w:type="dxa"/>
                  <w:tcBorders>
                    <w:top w:val="single" w:sz="4" w:space="0" w:color="auto"/>
                    <w:left w:val="nil"/>
                    <w:bottom w:val="single" w:sz="4" w:space="0" w:color="auto"/>
                    <w:right w:val="single" w:sz="4" w:space="0" w:color="auto"/>
                  </w:tcBorders>
                  <w:vAlign w:val="bottom"/>
                </w:tcPr>
                <w:p w14:paraId="78A65BAA" w14:textId="401D9076" w:rsidR="009843B1"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32%</w:t>
                  </w:r>
                </w:p>
              </w:tc>
            </w:tr>
            <w:tr w:rsidR="009843B1" w:rsidRPr="006B1221" w14:paraId="0965CF57" w14:textId="22BB27F3"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1A7186C" w14:textId="77777777" w:rsidR="009843B1" w:rsidRPr="006B1221" w:rsidRDefault="009843B1" w:rsidP="009843B1">
                  <w:pPr>
                    <w:rPr>
                      <w:rFonts w:ascii="Calibri" w:hAnsi="Calibri" w:cs="Calibri"/>
                      <w:color w:val="000000"/>
                      <w:sz w:val="22"/>
                      <w:szCs w:val="22"/>
                      <w:lang w:eastAsia="en-GB"/>
                    </w:rPr>
                  </w:pPr>
                  <w:r w:rsidRPr="006B1221">
                    <w:rPr>
                      <w:rFonts w:ascii="Calibri" w:hAnsi="Calibri" w:cs="Calibri"/>
                      <w:color w:val="000000"/>
                      <w:sz w:val="22"/>
                      <w:szCs w:val="22"/>
                      <w:lang w:eastAsia="en-GB"/>
                    </w:rPr>
                    <w:t>Metropolitan Police Service</w:t>
                  </w:r>
                </w:p>
              </w:tc>
              <w:tc>
                <w:tcPr>
                  <w:tcW w:w="834" w:type="dxa"/>
                  <w:tcBorders>
                    <w:top w:val="nil"/>
                    <w:left w:val="nil"/>
                    <w:bottom w:val="single" w:sz="4" w:space="0" w:color="auto"/>
                    <w:right w:val="single" w:sz="4" w:space="0" w:color="auto"/>
                  </w:tcBorders>
                  <w:shd w:val="clear" w:color="auto" w:fill="auto"/>
                  <w:noWrap/>
                  <w:vAlign w:val="bottom"/>
                  <w:hideMark/>
                </w:tcPr>
                <w:p w14:paraId="52608EF2"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23%</w:t>
                  </w:r>
                </w:p>
              </w:tc>
              <w:tc>
                <w:tcPr>
                  <w:tcW w:w="834" w:type="dxa"/>
                  <w:tcBorders>
                    <w:top w:val="nil"/>
                    <w:left w:val="nil"/>
                    <w:bottom w:val="single" w:sz="4" w:space="0" w:color="auto"/>
                    <w:right w:val="single" w:sz="4" w:space="0" w:color="auto"/>
                  </w:tcBorders>
                  <w:shd w:val="clear" w:color="auto" w:fill="auto"/>
                  <w:noWrap/>
                  <w:vAlign w:val="bottom"/>
                  <w:hideMark/>
                </w:tcPr>
                <w:p w14:paraId="5D58BE17"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26%</w:t>
                  </w:r>
                </w:p>
              </w:tc>
              <w:tc>
                <w:tcPr>
                  <w:tcW w:w="834" w:type="dxa"/>
                  <w:tcBorders>
                    <w:top w:val="nil"/>
                    <w:left w:val="nil"/>
                    <w:bottom w:val="single" w:sz="4" w:space="0" w:color="auto"/>
                    <w:right w:val="single" w:sz="4" w:space="0" w:color="auto"/>
                  </w:tcBorders>
                  <w:shd w:val="clear" w:color="auto" w:fill="auto"/>
                  <w:noWrap/>
                  <w:vAlign w:val="bottom"/>
                  <w:hideMark/>
                </w:tcPr>
                <w:p w14:paraId="308172F0"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25%</w:t>
                  </w:r>
                </w:p>
              </w:tc>
              <w:tc>
                <w:tcPr>
                  <w:tcW w:w="834" w:type="dxa"/>
                  <w:tcBorders>
                    <w:top w:val="nil"/>
                    <w:left w:val="nil"/>
                    <w:bottom w:val="single" w:sz="4" w:space="0" w:color="auto"/>
                    <w:right w:val="single" w:sz="4" w:space="0" w:color="auto"/>
                  </w:tcBorders>
                  <w:shd w:val="clear" w:color="auto" w:fill="auto"/>
                  <w:noWrap/>
                  <w:vAlign w:val="bottom"/>
                  <w:hideMark/>
                </w:tcPr>
                <w:p w14:paraId="71234151"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25%</w:t>
                  </w:r>
                </w:p>
              </w:tc>
              <w:tc>
                <w:tcPr>
                  <w:tcW w:w="834" w:type="dxa"/>
                  <w:tcBorders>
                    <w:top w:val="nil"/>
                    <w:left w:val="nil"/>
                    <w:bottom w:val="single" w:sz="4" w:space="0" w:color="auto"/>
                    <w:right w:val="single" w:sz="4" w:space="0" w:color="auto"/>
                  </w:tcBorders>
                  <w:shd w:val="clear" w:color="auto" w:fill="auto"/>
                  <w:noWrap/>
                  <w:vAlign w:val="bottom"/>
                  <w:hideMark/>
                </w:tcPr>
                <w:p w14:paraId="708DC259"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21%</w:t>
                  </w:r>
                </w:p>
              </w:tc>
              <w:tc>
                <w:tcPr>
                  <w:tcW w:w="835" w:type="dxa"/>
                  <w:tcBorders>
                    <w:top w:val="single" w:sz="4" w:space="0" w:color="auto"/>
                    <w:left w:val="nil"/>
                    <w:bottom w:val="single" w:sz="4" w:space="0" w:color="auto"/>
                    <w:right w:val="single" w:sz="4" w:space="0" w:color="auto"/>
                  </w:tcBorders>
                  <w:vAlign w:val="bottom"/>
                </w:tcPr>
                <w:p w14:paraId="1B1CC316" w14:textId="0B1382ED" w:rsidR="009843B1"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21%</w:t>
                  </w:r>
                </w:p>
              </w:tc>
            </w:tr>
            <w:tr w:rsidR="009843B1" w:rsidRPr="006B1221" w14:paraId="0A3E8108" w14:textId="5319C29C"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21CFEB96" w14:textId="77777777" w:rsidR="009843B1" w:rsidRPr="006B1221" w:rsidRDefault="009843B1" w:rsidP="009843B1">
                  <w:pPr>
                    <w:rPr>
                      <w:rFonts w:ascii="Calibri" w:hAnsi="Calibri" w:cs="Calibri"/>
                      <w:color w:val="000000"/>
                      <w:sz w:val="22"/>
                      <w:szCs w:val="22"/>
                      <w:lang w:eastAsia="en-GB"/>
                    </w:rPr>
                  </w:pPr>
                  <w:r w:rsidRPr="006B1221">
                    <w:rPr>
                      <w:rFonts w:ascii="Calibri" w:hAnsi="Calibri" w:cs="Calibri"/>
                      <w:color w:val="000000"/>
                      <w:sz w:val="22"/>
                      <w:szCs w:val="22"/>
                      <w:lang w:eastAsia="en-GB"/>
                    </w:rPr>
                    <w:t>Your borough council</w:t>
                  </w:r>
                </w:p>
              </w:tc>
              <w:tc>
                <w:tcPr>
                  <w:tcW w:w="834" w:type="dxa"/>
                  <w:tcBorders>
                    <w:top w:val="nil"/>
                    <w:left w:val="nil"/>
                    <w:bottom w:val="single" w:sz="4" w:space="0" w:color="auto"/>
                    <w:right w:val="single" w:sz="4" w:space="0" w:color="auto"/>
                  </w:tcBorders>
                  <w:shd w:val="clear" w:color="auto" w:fill="auto"/>
                  <w:noWrap/>
                  <w:vAlign w:val="bottom"/>
                  <w:hideMark/>
                </w:tcPr>
                <w:p w14:paraId="408DAF10"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21%</w:t>
                  </w:r>
                </w:p>
              </w:tc>
              <w:tc>
                <w:tcPr>
                  <w:tcW w:w="834" w:type="dxa"/>
                  <w:tcBorders>
                    <w:top w:val="nil"/>
                    <w:left w:val="nil"/>
                    <w:bottom w:val="single" w:sz="4" w:space="0" w:color="auto"/>
                    <w:right w:val="single" w:sz="4" w:space="0" w:color="auto"/>
                  </w:tcBorders>
                  <w:shd w:val="clear" w:color="auto" w:fill="auto"/>
                  <w:noWrap/>
                  <w:vAlign w:val="bottom"/>
                  <w:hideMark/>
                </w:tcPr>
                <w:p w14:paraId="1681BCED"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23%</w:t>
                  </w:r>
                </w:p>
              </w:tc>
              <w:tc>
                <w:tcPr>
                  <w:tcW w:w="834" w:type="dxa"/>
                  <w:tcBorders>
                    <w:top w:val="nil"/>
                    <w:left w:val="nil"/>
                    <w:bottom w:val="single" w:sz="4" w:space="0" w:color="auto"/>
                    <w:right w:val="single" w:sz="4" w:space="0" w:color="auto"/>
                  </w:tcBorders>
                  <w:shd w:val="clear" w:color="auto" w:fill="auto"/>
                  <w:noWrap/>
                  <w:vAlign w:val="bottom"/>
                  <w:hideMark/>
                </w:tcPr>
                <w:p w14:paraId="0A3987D9"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22%</w:t>
                  </w:r>
                </w:p>
              </w:tc>
              <w:tc>
                <w:tcPr>
                  <w:tcW w:w="834" w:type="dxa"/>
                  <w:tcBorders>
                    <w:top w:val="nil"/>
                    <w:left w:val="nil"/>
                    <w:bottom w:val="single" w:sz="4" w:space="0" w:color="auto"/>
                    <w:right w:val="single" w:sz="4" w:space="0" w:color="auto"/>
                  </w:tcBorders>
                  <w:shd w:val="clear" w:color="auto" w:fill="auto"/>
                  <w:noWrap/>
                  <w:vAlign w:val="bottom"/>
                  <w:hideMark/>
                </w:tcPr>
                <w:p w14:paraId="5C1D48B4"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19%</w:t>
                  </w:r>
                </w:p>
              </w:tc>
              <w:tc>
                <w:tcPr>
                  <w:tcW w:w="834" w:type="dxa"/>
                  <w:tcBorders>
                    <w:top w:val="nil"/>
                    <w:left w:val="nil"/>
                    <w:bottom w:val="single" w:sz="4" w:space="0" w:color="auto"/>
                    <w:right w:val="single" w:sz="4" w:space="0" w:color="auto"/>
                  </w:tcBorders>
                  <w:shd w:val="clear" w:color="auto" w:fill="auto"/>
                  <w:noWrap/>
                  <w:vAlign w:val="bottom"/>
                  <w:hideMark/>
                </w:tcPr>
                <w:p w14:paraId="6A7AF60F"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20%</w:t>
                  </w:r>
                </w:p>
              </w:tc>
              <w:tc>
                <w:tcPr>
                  <w:tcW w:w="835" w:type="dxa"/>
                  <w:tcBorders>
                    <w:top w:val="single" w:sz="4" w:space="0" w:color="auto"/>
                    <w:left w:val="nil"/>
                    <w:bottom w:val="single" w:sz="4" w:space="0" w:color="auto"/>
                    <w:right w:val="single" w:sz="4" w:space="0" w:color="auto"/>
                  </w:tcBorders>
                  <w:vAlign w:val="bottom"/>
                </w:tcPr>
                <w:p w14:paraId="5650FD5B" w14:textId="6FA34956" w:rsidR="009843B1"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21%</w:t>
                  </w:r>
                </w:p>
              </w:tc>
            </w:tr>
            <w:tr w:rsidR="009843B1" w:rsidRPr="006B1221" w14:paraId="1B73FCA1" w14:textId="5805B1FC"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AE8D2BF" w14:textId="77777777" w:rsidR="009843B1" w:rsidRPr="006B1221" w:rsidRDefault="009843B1" w:rsidP="009843B1">
                  <w:pPr>
                    <w:rPr>
                      <w:rFonts w:ascii="Calibri" w:hAnsi="Calibri" w:cs="Calibri"/>
                      <w:color w:val="000000"/>
                      <w:sz w:val="22"/>
                      <w:szCs w:val="22"/>
                      <w:lang w:eastAsia="en-GB"/>
                    </w:rPr>
                  </w:pPr>
                  <w:r w:rsidRPr="006B1221">
                    <w:rPr>
                      <w:rFonts w:ascii="Calibri" w:hAnsi="Calibri" w:cs="Calibri"/>
                      <w:color w:val="000000"/>
                      <w:sz w:val="22"/>
                      <w:szCs w:val="22"/>
                      <w:lang w:eastAsia="en-GB"/>
                    </w:rPr>
                    <w:t xml:space="preserve">London local media </w:t>
                  </w:r>
                </w:p>
              </w:tc>
              <w:tc>
                <w:tcPr>
                  <w:tcW w:w="834" w:type="dxa"/>
                  <w:tcBorders>
                    <w:top w:val="nil"/>
                    <w:left w:val="nil"/>
                    <w:bottom w:val="single" w:sz="4" w:space="0" w:color="auto"/>
                    <w:right w:val="single" w:sz="4" w:space="0" w:color="auto"/>
                  </w:tcBorders>
                  <w:shd w:val="clear" w:color="auto" w:fill="auto"/>
                  <w:noWrap/>
                  <w:vAlign w:val="bottom"/>
                  <w:hideMark/>
                </w:tcPr>
                <w:p w14:paraId="70E99DC2"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20%</w:t>
                  </w:r>
                </w:p>
              </w:tc>
              <w:tc>
                <w:tcPr>
                  <w:tcW w:w="834" w:type="dxa"/>
                  <w:tcBorders>
                    <w:top w:val="nil"/>
                    <w:left w:val="nil"/>
                    <w:bottom w:val="single" w:sz="4" w:space="0" w:color="auto"/>
                    <w:right w:val="single" w:sz="4" w:space="0" w:color="auto"/>
                  </w:tcBorders>
                  <w:shd w:val="clear" w:color="auto" w:fill="auto"/>
                  <w:noWrap/>
                  <w:vAlign w:val="bottom"/>
                  <w:hideMark/>
                </w:tcPr>
                <w:p w14:paraId="4D561A68"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19%</w:t>
                  </w:r>
                </w:p>
              </w:tc>
              <w:tc>
                <w:tcPr>
                  <w:tcW w:w="834" w:type="dxa"/>
                  <w:tcBorders>
                    <w:top w:val="nil"/>
                    <w:left w:val="nil"/>
                    <w:bottom w:val="single" w:sz="4" w:space="0" w:color="auto"/>
                    <w:right w:val="single" w:sz="4" w:space="0" w:color="auto"/>
                  </w:tcBorders>
                  <w:shd w:val="clear" w:color="auto" w:fill="auto"/>
                  <w:noWrap/>
                  <w:vAlign w:val="bottom"/>
                  <w:hideMark/>
                </w:tcPr>
                <w:p w14:paraId="7B3FD63A"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20%</w:t>
                  </w:r>
                </w:p>
              </w:tc>
              <w:tc>
                <w:tcPr>
                  <w:tcW w:w="834" w:type="dxa"/>
                  <w:tcBorders>
                    <w:top w:val="nil"/>
                    <w:left w:val="nil"/>
                    <w:bottom w:val="single" w:sz="4" w:space="0" w:color="auto"/>
                    <w:right w:val="single" w:sz="4" w:space="0" w:color="auto"/>
                  </w:tcBorders>
                  <w:shd w:val="clear" w:color="auto" w:fill="auto"/>
                  <w:noWrap/>
                  <w:vAlign w:val="bottom"/>
                  <w:hideMark/>
                </w:tcPr>
                <w:p w14:paraId="5B0A7617"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19%</w:t>
                  </w:r>
                </w:p>
              </w:tc>
              <w:tc>
                <w:tcPr>
                  <w:tcW w:w="834" w:type="dxa"/>
                  <w:tcBorders>
                    <w:top w:val="nil"/>
                    <w:left w:val="nil"/>
                    <w:bottom w:val="single" w:sz="4" w:space="0" w:color="auto"/>
                    <w:right w:val="single" w:sz="4" w:space="0" w:color="auto"/>
                  </w:tcBorders>
                  <w:shd w:val="clear" w:color="auto" w:fill="auto"/>
                  <w:noWrap/>
                  <w:vAlign w:val="bottom"/>
                  <w:hideMark/>
                </w:tcPr>
                <w:p w14:paraId="3B61367C" w14:textId="77777777" w:rsidR="009843B1" w:rsidRPr="006B1221" w:rsidRDefault="009843B1" w:rsidP="009843B1">
                  <w:pPr>
                    <w:jc w:val="right"/>
                    <w:rPr>
                      <w:rFonts w:ascii="Calibri" w:hAnsi="Calibri" w:cs="Calibri"/>
                      <w:color w:val="000000"/>
                      <w:sz w:val="22"/>
                      <w:szCs w:val="22"/>
                      <w:lang w:eastAsia="en-GB"/>
                    </w:rPr>
                  </w:pPr>
                  <w:r w:rsidRPr="006B1221">
                    <w:rPr>
                      <w:rFonts w:ascii="Calibri" w:hAnsi="Calibri" w:cs="Calibri"/>
                      <w:color w:val="000000"/>
                      <w:sz w:val="22"/>
                      <w:szCs w:val="22"/>
                      <w:lang w:eastAsia="en-GB"/>
                    </w:rPr>
                    <w:t>17%</w:t>
                  </w:r>
                </w:p>
              </w:tc>
              <w:tc>
                <w:tcPr>
                  <w:tcW w:w="835" w:type="dxa"/>
                  <w:tcBorders>
                    <w:top w:val="single" w:sz="4" w:space="0" w:color="auto"/>
                    <w:left w:val="nil"/>
                    <w:bottom w:val="single" w:sz="4" w:space="0" w:color="auto"/>
                    <w:right w:val="single" w:sz="4" w:space="0" w:color="auto"/>
                  </w:tcBorders>
                  <w:vAlign w:val="bottom"/>
                </w:tcPr>
                <w:p w14:paraId="34BE63ED" w14:textId="5662BDDB" w:rsidR="009843B1"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20%</w:t>
                  </w:r>
                </w:p>
              </w:tc>
            </w:tr>
          </w:tbl>
          <w:p w14:paraId="1CBD7809" w14:textId="0C0D07B0" w:rsidR="004E385F" w:rsidRDefault="004E385F" w:rsidP="004E385F"/>
          <w:p w14:paraId="6AEC90D9" w14:textId="4E340CD7" w:rsidR="009843B1" w:rsidRPr="009843B1" w:rsidRDefault="009843B1" w:rsidP="004E385F">
            <w:pPr>
              <w:rPr>
                <w:b/>
                <w:bCs/>
              </w:rPr>
            </w:pPr>
            <w:r w:rsidRPr="009843B1">
              <w:rPr>
                <w:b/>
                <w:bCs/>
              </w:rPr>
              <w:t xml:space="preserve">Inequalities data for </w:t>
            </w:r>
            <w:r w:rsidR="00622F3A">
              <w:rPr>
                <w:b/>
                <w:bCs/>
              </w:rPr>
              <w:t>May-</w:t>
            </w:r>
            <w:r w:rsidRPr="009843B1">
              <w:rPr>
                <w:b/>
                <w:bCs/>
              </w:rPr>
              <w:t>23</w:t>
            </w:r>
          </w:p>
          <w:tbl>
            <w:tblPr>
              <w:tblW w:w="7679" w:type="dxa"/>
              <w:tblLayout w:type="fixed"/>
              <w:tblLook w:val="04A0" w:firstRow="1" w:lastRow="0" w:firstColumn="1" w:lastColumn="0" w:noHBand="0" w:noVBand="1"/>
            </w:tblPr>
            <w:tblGrid>
              <w:gridCol w:w="2674"/>
              <w:gridCol w:w="834"/>
              <w:gridCol w:w="834"/>
              <w:gridCol w:w="834"/>
              <w:gridCol w:w="834"/>
              <w:gridCol w:w="834"/>
              <w:gridCol w:w="835"/>
            </w:tblGrid>
            <w:tr w:rsidR="00622F3A" w:rsidRPr="006B1221" w14:paraId="027A57C9" w14:textId="77777777" w:rsidTr="002B04A8">
              <w:trPr>
                <w:trHeight w:val="300"/>
              </w:trPr>
              <w:tc>
                <w:tcPr>
                  <w:tcW w:w="2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628F" w14:textId="77777777" w:rsidR="00622F3A" w:rsidRPr="006B1221" w:rsidRDefault="00622F3A" w:rsidP="00622F3A">
                  <w:pPr>
                    <w:rPr>
                      <w:rFonts w:ascii="Calibri" w:hAnsi="Calibri" w:cs="Calibri"/>
                      <w:color w:val="000000"/>
                      <w:sz w:val="22"/>
                      <w:szCs w:val="22"/>
                      <w:lang w:eastAsia="en-GB"/>
                    </w:rPr>
                  </w:pPr>
                  <w:r w:rsidRPr="006B1221">
                    <w:rPr>
                      <w:rFonts w:ascii="Calibri" w:hAnsi="Calibri" w:cs="Calibri"/>
                      <w:color w:val="000000"/>
                      <w:sz w:val="22"/>
                      <w:szCs w:val="22"/>
                      <w:lang w:eastAsia="en-GB"/>
                    </w:rPr>
                    <w:t> </w:t>
                  </w:r>
                </w:p>
              </w:tc>
              <w:tc>
                <w:tcPr>
                  <w:tcW w:w="834" w:type="dxa"/>
                  <w:tcBorders>
                    <w:top w:val="single" w:sz="4" w:space="0" w:color="auto"/>
                    <w:left w:val="nil"/>
                    <w:bottom w:val="single" w:sz="4" w:space="0" w:color="auto"/>
                    <w:right w:val="single" w:sz="4" w:space="0" w:color="auto"/>
                  </w:tcBorders>
                  <w:shd w:val="clear" w:color="auto" w:fill="auto"/>
                  <w:noWrap/>
                  <w:vAlign w:val="bottom"/>
                </w:tcPr>
                <w:p w14:paraId="3F05D3A1" w14:textId="7B72E98F" w:rsidR="00622F3A" w:rsidRPr="006B1221" w:rsidRDefault="00622F3A" w:rsidP="00622F3A">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Male</w:t>
                  </w:r>
                </w:p>
              </w:tc>
              <w:tc>
                <w:tcPr>
                  <w:tcW w:w="834" w:type="dxa"/>
                  <w:tcBorders>
                    <w:top w:val="single" w:sz="4" w:space="0" w:color="auto"/>
                    <w:left w:val="nil"/>
                    <w:bottom w:val="single" w:sz="4" w:space="0" w:color="auto"/>
                    <w:right w:val="single" w:sz="4" w:space="0" w:color="auto"/>
                  </w:tcBorders>
                  <w:shd w:val="clear" w:color="auto" w:fill="auto"/>
                  <w:noWrap/>
                  <w:vAlign w:val="bottom"/>
                </w:tcPr>
                <w:p w14:paraId="5D948C7F" w14:textId="6B81C73E" w:rsidR="00622F3A" w:rsidRPr="006B1221" w:rsidRDefault="00622F3A" w:rsidP="00622F3A">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Female</w:t>
                  </w:r>
                </w:p>
              </w:tc>
              <w:tc>
                <w:tcPr>
                  <w:tcW w:w="834" w:type="dxa"/>
                  <w:tcBorders>
                    <w:top w:val="single" w:sz="4" w:space="0" w:color="auto"/>
                    <w:left w:val="nil"/>
                    <w:bottom w:val="single" w:sz="4" w:space="0" w:color="auto"/>
                    <w:right w:val="single" w:sz="4" w:space="0" w:color="auto"/>
                  </w:tcBorders>
                  <w:shd w:val="clear" w:color="auto" w:fill="auto"/>
                  <w:noWrap/>
                </w:tcPr>
                <w:p w14:paraId="26DEC924" w14:textId="590D4965" w:rsidR="00622F3A" w:rsidRPr="006B1221" w:rsidRDefault="00622F3A" w:rsidP="00622F3A">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White</w:t>
                  </w:r>
                </w:p>
              </w:tc>
              <w:tc>
                <w:tcPr>
                  <w:tcW w:w="834" w:type="dxa"/>
                  <w:tcBorders>
                    <w:top w:val="single" w:sz="4" w:space="0" w:color="auto"/>
                    <w:left w:val="nil"/>
                    <w:bottom w:val="single" w:sz="4" w:space="0" w:color="auto"/>
                    <w:right w:val="single" w:sz="4" w:space="0" w:color="auto"/>
                  </w:tcBorders>
                  <w:shd w:val="clear" w:color="auto" w:fill="auto"/>
                  <w:noWrap/>
                </w:tcPr>
                <w:p w14:paraId="4BD73E39" w14:textId="6DC58307" w:rsidR="00622F3A" w:rsidRPr="006B1221" w:rsidRDefault="00622F3A" w:rsidP="00622F3A">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Asian</w:t>
                  </w:r>
                </w:p>
              </w:tc>
              <w:tc>
                <w:tcPr>
                  <w:tcW w:w="834" w:type="dxa"/>
                  <w:tcBorders>
                    <w:top w:val="single" w:sz="4" w:space="0" w:color="auto"/>
                    <w:left w:val="nil"/>
                    <w:bottom w:val="single" w:sz="4" w:space="0" w:color="auto"/>
                    <w:right w:val="single" w:sz="4" w:space="0" w:color="auto"/>
                  </w:tcBorders>
                  <w:shd w:val="clear" w:color="auto" w:fill="auto"/>
                  <w:noWrap/>
                </w:tcPr>
                <w:p w14:paraId="1B7AE9E0" w14:textId="4D408D7E" w:rsidR="00622F3A" w:rsidRPr="006B1221" w:rsidRDefault="00622F3A" w:rsidP="00622F3A">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Black</w:t>
                  </w:r>
                </w:p>
              </w:tc>
              <w:tc>
                <w:tcPr>
                  <w:tcW w:w="835" w:type="dxa"/>
                  <w:tcBorders>
                    <w:top w:val="single" w:sz="4" w:space="0" w:color="auto"/>
                    <w:left w:val="nil"/>
                    <w:bottom w:val="single" w:sz="4" w:space="0" w:color="auto"/>
                    <w:right w:val="single" w:sz="4" w:space="0" w:color="auto"/>
                  </w:tcBorders>
                </w:tcPr>
                <w:p w14:paraId="556AEFB2" w14:textId="4080EE9E" w:rsidR="00622F3A" w:rsidRPr="006B1221" w:rsidRDefault="00622F3A" w:rsidP="00622F3A">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Other and mixed</w:t>
                  </w:r>
                </w:p>
              </w:tc>
            </w:tr>
            <w:tr w:rsidR="00E4000A" w:rsidRPr="006B1221" w14:paraId="1AF0CDB0" w14:textId="77777777"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2A865E83" w14:textId="77777777" w:rsidR="00E4000A" w:rsidRPr="006B1221" w:rsidRDefault="00E4000A" w:rsidP="00E4000A">
                  <w:pPr>
                    <w:rPr>
                      <w:rFonts w:ascii="Calibri" w:hAnsi="Calibri" w:cs="Calibri"/>
                      <w:color w:val="000000"/>
                      <w:sz w:val="22"/>
                      <w:szCs w:val="22"/>
                      <w:lang w:eastAsia="en-GB"/>
                    </w:rPr>
                  </w:pPr>
                  <w:r w:rsidRPr="006B1221">
                    <w:rPr>
                      <w:rFonts w:ascii="Calibri" w:hAnsi="Calibri" w:cs="Calibri"/>
                      <w:color w:val="000000"/>
                      <w:sz w:val="22"/>
                      <w:szCs w:val="22"/>
                      <w:lang w:eastAsia="en-GB"/>
                    </w:rPr>
                    <w:t>Your own GP</w:t>
                  </w:r>
                </w:p>
              </w:tc>
              <w:tc>
                <w:tcPr>
                  <w:tcW w:w="834" w:type="dxa"/>
                  <w:tcBorders>
                    <w:top w:val="nil"/>
                    <w:left w:val="nil"/>
                    <w:bottom w:val="single" w:sz="4" w:space="0" w:color="auto"/>
                    <w:right w:val="single" w:sz="4" w:space="0" w:color="auto"/>
                  </w:tcBorders>
                  <w:shd w:val="clear" w:color="auto" w:fill="auto"/>
                  <w:noWrap/>
                  <w:vAlign w:val="bottom"/>
                </w:tcPr>
                <w:p w14:paraId="7FE48CAC" w14:textId="4F1C00A6"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45%</w:t>
                  </w:r>
                </w:p>
              </w:tc>
              <w:tc>
                <w:tcPr>
                  <w:tcW w:w="834" w:type="dxa"/>
                  <w:tcBorders>
                    <w:top w:val="nil"/>
                    <w:left w:val="nil"/>
                    <w:bottom w:val="single" w:sz="4" w:space="0" w:color="auto"/>
                    <w:right w:val="single" w:sz="4" w:space="0" w:color="auto"/>
                  </w:tcBorders>
                  <w:shd w:val="clear" w:color="auto" w:fill="auto"/>
                  <w:noWrap/>
                  <w:vAlign w:val="bottom"/>
                </w:tcPr>
                <w:p w14:paraId="7DF5A575" w14:textId="39C2861E"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46%</w:t>
                  </w:r>
                </w:p>
              </w:tc>
              <w:tc>
                <w:tcPr>
                  <w:tcW w:w="834" w:type="dxa"/>
                  <w:tcBorders>
                    <w:top w:val="nil"/>
                    <w:left w:val="nil"/>
                    <w:bottom w:val="single" w:sz="4" w:space="0" w:color="auto"/>
                    <w:right w:val="single" w:sz="4" w:space="0" w:color="auto"/>
                  </w:tcBorders>
                  <w:shd w:val="clear" w:color="auto" w:fill="auto"/>
                  <w:noWrap/>
                  <w:vAlign w:val="bottom"/>
                </w:tcPr>
                <w:p w14:paraId="53D966D3" w14:textId="58AA16A8"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51%</w:t>
                  </w:r>
                </w:p>
              </w:tc>
              <w:tc>
                <w:tcPr>
                  <w:tcW w:w="834" w:type="dxa"/>
                  <w:tcBorders>
                    <w:top w:val="nil"/>
                    <w:left w:val="nil"/>
                    <w:bottom w:val="single" w:sz="4" w:space="0" w:color="auto"/>
                    <w:right w:val="single" w:sz="4" w:space="0" w:color="auto"/>
                  </w:tcBorders>
                  <w:shd w:val="clear" w:color="auto" w:fill="auto"/>
                  <w:noWrap/>
                  <w:vAlign w:val="bottom"/>
                </w:tcPr>
                <w:p w14:paraId="564A8717" w14:textId="731E34F0"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33%</w:t>
                  </w:r>
                </w:p>
              </w:tc>
              <w:tc>
                <w:tcPr>
                  <w:tcW w:w="834" w:type="dxa"/>
                  <w:tcBorders>
                    <w:top w:val="nil"/>
                    <w:left w:val="nil"/>
                    <w:bottom w:val="single" w:sz="4" w:space="0" w:color="auto"/>
                    <w:right w:val="single" w:sz="4" w:space="0" w:color="auto"/>
                  </w:tcBorders>
                  <w:shd w:val="clear" w:color="auto" w:fill="auto"/>
                  <w:noWrap/>
                  <w:vAlign w:val="bottom"/>
                </w:tcPr>
                <w:p w14:paraId="042D606A" w14:textId="36E6204C"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41%</w:t>
                  </w:r>
                </w:p>
              </w:tc>
              <w:tc>
                <w:tcPr>
                  <w:tcW w:w="835" w:type="dxa"/>
                  <w:tcBorders>
                    <w:top w:val="single" w:sz="4" w:space="0" w:color="auto"/>
                    <w:left w:val="nil"/>
                    <w:bottom w:val="single" w:sz="4" w:space="0" w:color="auto"/>
                    <w:right w:val="single" w:sz="4" w:space="0" w:color="auto"/>
                  </w:tcBorders>
                  <w:vAlign w:val="bottom"/>
                </w:tcPr>
                <w:p w14:paraId="5BD87AED" w14:textId="74111EB6"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38%</w:t>
                  </w:r>
                </w:p>
              </w:tc>
            </w:tr>
            <w:tr w:rsidR="00E4000A" w:rsidRPr="006B1221" w14:paraId="765C4819" w14:textId="77777777"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230F8885" w14:textId="77777777" w:rsidR="00E4000A" w:rsidRPr="006B1221" w:rsidRDefault="00E4000A" w:rsidP="00E4000A">
                  <w:pPr>
                    <w:rPr>
                      <w:rFonts w:ascii="Calibri" w:hAnsi="Calibri" w:cs="Calibri"/>
                      <w:color w:val="000000"/>
                      <w:sz w:val="22"/>
                      <w:szCs w:val="22"/>
                      <w:lang w:eastAsia="en-GB"/>
                    </w:rPr>
                  </w:pPr>
                  <w:r w:rsidRPr="006B1221">
                    <w:rPr>
                      <w:rFonts w:ascii="Calibri" w:hAnsi="Calibri" w:cs="Calibri"/>
                      <w:color w:val="000000"/>
                      <w:sz w:val="22"/>
                      <w:szCs w:val="22"/>
                      <w:lang w:eastAsia="en-GB"/>
                    </w:rPr>
                    <w:t>Your local hospital</w:t>
                  </w:r>
                </w:p>
              </w:tc>
              <w:tc>
                <w:tcPr>
                  <w:tcW w:w="834" w:type="dxa"/>
                  <w:tcBorders>
                    <w:top w:val="nil"/>
                    <w:left w:val="nil"/>
                    <w:bottom w:val="single" w:sz="4" w:space="0" w:color="auto"/>
                    <w:right w:val="single" w:sz="4" w:space="0" w:color="auto"/>
                  </w:tcBorders>
                  <w:shd w:val="clear" w:color="auto" w:fill="auto"/>
                  <w:noWrap/>
                  <w:vAlign w:val="bottom"/>
                </w:tcPr>
                <w:p w14:paraId="25F516E8" w14:textId="0051CC95"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43%</w:t>
                  </w:r>
                </w:p>
              </w:tc>
              <w:tc>
                <w:tcPr>
                  <w:tcW w:w="834" w:type="dxa"/>
                  <w:tcBorders>
                    <w:top w:val="nil"/>
                    <w:left w:val="nil"/>
                    <w:bottom w:val="single" w:sz="4" w:space="0" w:color="auto"/>
                    <w:right w:val="single" w:sz="4" w:space="0" w:color="auto"/>
                  </w:tcBorders>
                  <w:shd w:val="clear" w:color="auto" w:fill="auto"/>
                  <w:noWrap/>
                  <w:vAlign w:val="bottom"/>
                </w:tcPr>
                <w:p w14:paraId="467C8BC9" w14:textId="769FF08E"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40%</w:t>
                  </w:r>
                </w:p>
              </w:tc>
              <w:tc>
                <w:tcPr>
                  <w:tcW w:w="834" w:type="dxa"/>
                  <w:tcBorders>
                    <w:top w:val="nil"/>
                    <w:left w:val="nil"/>
                    <w:bottom w:val="single" w:sz="4" w:space="0" w:color="auto"/>
                    <w:right w:val="single" w:sz="4" w:space="0" w:color="auto"/>
                  </w:tcBorders>
                  <w:shd w:val="clear" w:color="auto" w:fill="auto"/>
                  <w:noWrap/>
                  <w:vAlign w:val="bottom"/>
                </w:tcPr>
                <w:p w14:paraId="330B7F21" w14:textId="1034065F"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48%</w:t>
                  </w:r>
                </w:p>
              </w:tc>
              <w:tc>
                <w:tcPr>
                  <w:tcW w:w="834" w:type="dxa"/>
                  <w:tcBorders>
                    <w:top w:val="nil"/>
                    <w:left w:val="nil"/>
                    <w:bottom w:val="single" w:sz="4" w:space="0" w:color="auto"/>
                    <w:right w:val="single" w:sz="4" w:space="0" w:color="auto"/>
                  </w:tcBorders>
                  <w:shd w:val="clear" w:color="auto" w:fill="auto"/>
                  <w:noWrap/>
                  <w:vAlign w:val="bottom"/>
                </w:tcPr>
                <w:p w14:paraId="5B18D80C" w14:textId="68E1D2FF"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33%</w:t>
                  </w:r>
                </w:p>
              </w:tc>
              <w:tc>
                <w:tcPr>
                  <w:tcW w:w="834" w:type="dxa"/>
                  <w:tcBorders>
                    <w:top w:val="nil"/>
                    <w:left w:val="nil"/>
                    <w:bottom w:val="single" w:sz="4" w:space="0" w:color="auto"/>
                    <w:right w:val="single" w:sz="4" w:space="0" w:color="auto"/>
                  </w:tcBorders>
                  <w:shd w:val="clear" w:color="auto" w:fill="auto"/>
                  <w:noWrap/>
                  <w:vAlign w:val="bottom"/>
                </w:tcPr>
                <w:p w14:paraId="63253400" w14:textId="3571CEC3"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31%</w:t>
                  </w:r>
                </w:p>
              </w:tc>
              <w:tc>
                <w:tcPr>
                  <w:tcW w:w="835" w:type="dxa"/>
                  <w:tcBorders>
                    <w:top w:val="single" w:sz="4" w:space="0" w:color="auto"/>
                    <w:left w:val="nil"/>
                    <w:bottom w:val="single" w:sz="4" w:space="0" w:color="auto"/>
                    <w:right w:val="single" w:sz="4" w:space="0" w:color="auto"/>
                  </w:tcBorders>
                  <w:vAlign w:val="bottom"/>
                </w:tcPr>
                <w:p w14:paraId="2548D691" w14:textId="4FD413AB"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29%</w:t>
                  </w:r>
                </w:p>
              </w:tc>
            </w:tr>
            <w:tr w:rsidR="00E4000A" w:rsidRPr="006B1221" w14:paraId="304203D9" w14:textId="77777777"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4D46D59A" w14:textId="77777777" w:rsidR="00E4000A" w:rsidRPr="006B1221" w:rsidRDefault="00E4000A" w:rsidP="00E4000A">
                  <w:pPr>
                    <w:rPr>
                      <w:rFonts w:ascii="Calibri" w:hAnsi="Calibri" w:cs="Calibri"/>
                      <w:color w:val="000000"/>
                      <w:sz w:val="22"/>
                      <w:szCs w:val="22"/>
                      <w:lang w:eastAsia="en-GB"/>
                    </w:rPr>
                  </w:pPr>
                  <w:r w:rsidRPr="006B1221">
                    <w:rPr>
                      <w:rFonts w:ascii="Calibri" w:hAnsi="Calibri" w:cs="Calibri"/>
                      <w:color w:val="000000"/>
                      <w:sz w:val="22"/>
                      <w:szCs w:val="22"/>
                      <w:lang w:eastAsia="en-GB"/>
                    </w:rPr>
                    <w:t>Schools in your local area</w:t>
                  </w:r>
                </w:p>
              </w:tc>
              <w:tc>
                <w:tcPr>
                  <w:tcW w:w="834" w:type="dxa"/>
                  <w:tcBorders>
                    <w:top w:val="nil"/>
                    <w:left w:val="nil"/>
                    <w:bottom w:val="single" w:sz="4" w:space="0" w:color="auto"/>
                    <w:right w:val="single" w:sz="4" w:space="0" w:color="auto"/>
                  </w:tcBorders>
                  <w:shd w:val="clear" w:color="auto" w:fill="auto"/>
                  <w:noWrap/>
                  <w:vAlign w:val="bottom"/>
                </w:tcPr>
                <w:p w14:paraId="317D4BCA" w14:textId="5D220F4C"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31%</w:t>
                  </w:r>
                </w:p>
              </w:tc>
              <w:tc>
                <w:tcPr>
                  <w:tcW w:w="834" w:type="dxa"/>
                  <w:tcBorders>
                    <w:top w:val="nil"/>
                    <w:left w:val="nil"/>
                    <w:bottom w:val="single" w:sz="4" w:space="0" w:color="auto"/>
                    <w:right w:val="single" w:sz="4" w:space="0" w:color="auto"/>
                  </w:tcBorders>
                  <w:shd w:val="clear" w:color="auto" w:fill="auto"/>
                  <w:noWrap/>
                  <w:vAlign w:val="bottom"/>
                </w:tcPr>
                <w:p w14:paraId="2ED14BDE" w14:textId="70DC789C"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30%</w:t>
                  </w:r>
                </w:p>
              </w:tc>
              <w:tc>
                <w:tcPr>
                  <w:tcW w:w="834" w:type="dxa"/>
                  <w:tcBorders>
                    <w:top w:val="nil"/>
                    <w:left w:val="nil"/>
                    <w:bottom w:val="single" w:sz="4" w:space="0" w:color="auto"/>
                    <w:right w:val="single" w:sz="4" w:space="0" w:color="auto"/>
                  </w:tcBorders>
                  <w:shd w:val="clear" w:color="auto" w:fill="auto"/>
                  <w:noWrap/>
                  <w:vAlign w:val="bottom"/>
                </w:tcPr>
                <w:p w14:paraId="2E584211" w14:textId="36E52E19"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32%</w:t>
                  </w:r>
                </w:p>
              </w:tc>
              <w:tc>
                <w:tcPr>
                  <w:tcW w:w="834" w:type="dxa"/>
                  <w:tcBorders>
                    <w:top w:val="nil"/>
                    <w:left w:val="nil"/>
                    <w:bottom w:val="single" w:sz="4" w:space="0" w:color="auto"/>
                    <w:right w:val="single" w:sz="4" w:space="0" w:color="auto"/>
                  </w:tcBorders>
                  <w:shd w:val="clear" w:color="auto" w:fill="auto"/>
                  <w:noWrap/>
                  <w:vAlign w:val="bottom"/>
                </w:tcPr>
                <w:p w14:paraId="0AEB456B" w14:textId="3A686B8F"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33%</w:t>
                  </w:r>
                </w:p>
              </w:tc>
              <w:tc>
                <w:tcPr>
                  <w:tcW w:w="834" w:type="dxa"/>
                  <w:tcBorders>
                    <w:top w:val="nil"/>
                    <w:left w:val="nil"/>
                    <w:bottom w:val="single" w:sz="4" w:space="0" w:color="auto"/>
                    <w:right w:val="single" w:sz="4" w:space="0" w:color="auto"/>
                  </w:tcBorders>
                  <w:shd w:val="clear" w:color="auto" w:fill="auto"/>
                  <w:noWrap/>
                  <w:vAlign w:val="bottom"/>
                </w:tcPr>
                <w:p w14:paraId="7ED2D908" w14:textId="6A15EFCB"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27%</w:t>
                  </w:r>
                </w:p>
              </w:tc>
              <w:tc>
                <w:tcPr>
                  <w:tcW w:w="835" w:type="dxa"/>
                  <w:tcBorders>
                    <w:top w:val="single" w:sz="4" w:space="0" w:color="auto"/>
                    <w:left w:val="nil"/>
                    <w:bottom w:val="single" w:sz="4" w:space="0" w:color="auto"/>
                    <w:right w:val="single" w:sz="4" w:space="0" w:color="auto"/>
                  </w:tcBorders>
                  <w:vAlign w:val="bottom"/>
                </w:tcPr>
                <w:p w14:paraId="79DD0CD3" w14:textId="16036229"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28%</w:t>
                  </w:r>
                </w:p>
              </w:tc>
            </w:tr>
            <w:tr w:rsidR="00E4000A" w:rsidRPr="006B1221" w14:paraId="793292CB" w14:textId="77777777"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6F9A65C9" w14:textId="77777777" w:rsidR="00E4000A" w:rsidRPr="006B1221" w:rsidRDefault="00E4000A" w:rsidP="00E4000A">
                  <w:pPr>
                    <w:rPr>
                      <w:rFonts w:ascii="Calibri" w:hAnsi="Calibri" w:cs="Calibri"/>
                      <w:color w:val="000000"/>
                      <w:sz w:val="22"/>
                      <w:szCs w:val="22"/>
                      <w:lang w:eastAsia="en-GB"/>
                    </w:rPr>
                  </w:pPr>
                  <w:r w:rsidRPr="006B1221">
                    <w:rPr>
                      <w:rFonts w:ascii="Calibri" w:hAnsi="Calibri" w:cs="Calibri"/>
                      <w:color w:val="000000"/>
                      <w:sz w:val="22"/>
                      <w:szCs w:val="22"/>
                      <w:lang w:eastAsia="en-GB"/>
                    </w:rPr>
                    <w:t>Transport for London</w:t>
                  </w:r>
                </w:p>
              </w:tc>
              <w:tc>
                <w:tcPr>
                  <w:tcW w:w="834" w:type="dxa"/>
                  <w:tcBorders>
                    <w:top w:val="nil"/>
                    <w:left w:val="nil"/>
                    <w:bottom w:val="single" w:sz="4" w:space="0" w:color="auto"/>
                    <w:right w:val="single" w:sz="4" w:space="0" w:color="auto"/>
                  </w:tcBorders>
                  <w:shd w:val="clear" w:color="auto" w:fill="auto"/>
                  <w:noWrap/>
                  <w:vAlign w:val="bottom"/>
                </w:tcPr>
                <w:p w14:paraId="113FB494" w14:textId="7EB1C607"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33%</w:t>
                  </w:r>
                </w:p>
              </w:tc>
              <w:tc>
                <w:tcPr>
                  <w:tcW w:w="834" w:type="dxa"/>
                  <w:tcBorders>
                    <w:top w:val="nil"/>
                    <w:left w:val="nil"/>
                    <w:bottom w:val="single" w:sz="4" w:space="0" w:color="auto"/>
                    <w:right w:val="single" w:sz="4" w:space="0" w:color="auto"/>
                  </w:tcBorders>
                  <w:shd w:val="clear" w:color="auto" w:fill="auto"/>
                  <w:noWrap/>
                  <w:vAlign w:val="bottom"/>
                </w:tcPr>
                <w:p w14:paraId="53FF3C40" w14:textId="550BF0C8"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31%</w:t>
                  </w:r>
                </w:p>
              </w:tc>
              <w:tc>
                <w:tcPr>
                  <w:tcW w:w="834" w:type="dxa"/>
                  <w:tcBorders>
                    <w:top w:val="nil"/>
                    <w:left w:val="nil"/>
                    <w:bottom w:val="single" w:sz="4" w:space="0" w:color="auto"/>
                    <w:right w:val="single" w:sz="4" w:space="0" w:color="auto"/>
                  </w:tcBorders>
                  <w:shd w:val="clear" w:color="auto" w:fill="auto"/>
                  <w:noWrap/>
                  <w:vAlign w:val="bottom"/>
                </w:tcPr>
                <w:p w14:paraId="01B73CB8" w14:textId="112648C8"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34%</w:t>
                  </w:r>
                </w:p>
              </w:tc>
              <w:tc>
                <w:tcPr>
                  <w:tcW w:w="834" w:type="dxa"/>
                  <w:tcBorders>
                    <w:top w:val="nil"/>
                    <w:left w:val="nil"/>
                    <w:bottom w:val="single" w:sz="4" w:space="0" w:color="auto"/>
                    <w:right w:val="single" w:sz="4" w:space="0" w:color="auto"/>
                  </w:tcBorders>
                  <w:shd w:val="clear" w:color="auto" w:fill="auto"/>
                  <w:noWrap/>
                  <w:vAlign w:val="bottom"/>
                </w:tcPr>
                <w:p w14:paraId="6DA10DAC" w14:textId="52F32E81"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31%</w:t>
                  </w:r>
                </w:p>
              </w:tc>
              <w:tc>
                <w:tcPr>
                  <w:tcW w:w="834" w:type="dxa"/>
                  <w:tcBorders>
                    <w:top w:val="nil"/>
                    <w:left w:val="nil"/>
                    <w:bottom w:val="single" w:sz="4" w:space="0" w:color="auto"/>
                    <w:right w:val="single" w:sz="4" w:space="0" w:color="auto"/>
                  </w:tcBorders>
                  <w:shd w:val="clear" w:color="auto" w:fill="auto"/>
                  <w:noWrap/>
                  <w:vAlign w:val="bottom"/>
                </w:tcPr>
                <w:p w14:paraId="56966D7B" w14:textId="669D4098"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37%</w:t>
                  </w:r>
                </w:p>
              </w:tc>
              <w:tc>
                <w:tcPr>
                  <w:tcW w:w="835" w:type="dxa"/>
                  <w:tcBorders>
                    <w:top w:val="single" w:sz="4" w:space="0" w:color="auto"/>
                    <w:left w:val="nil"/>
                    <w:bottom w:val="single" w:sz="4" w:space="0" w:color="auto"/>
                    <w:right w:val="single" w:sz="4" w:space="0" w:color="auto"/>
                  </w:tcBorders>
                  <w:vAlign w:val="bottom"/>
                </w:tcPr>
                <w:p w14:paraId="63F2EB1D" w14:textId="1AD98CF9"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24%</w:t>
                  </w:r>
                </w:p>
              </w:tc>
            </w:tr>
            <w:tr w:rsidR="00E4000A" w:rsidRPr="006B1221" w14:paraId="45DB001D" w14:textId="77777777"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24367F17" w14:textId="199E197E" w:rsidR="00E4000A" w:rsidRPr="006B1221" w:rsidRDefault="00E4000A" w:rsidP="00E4000A">
                  <w:pPr>
                    <w:rPr>
                      <w:rFonts w:ascii="Calibri" w:hAnsi="Calibri" w:cs="Calibri"/>
                      <w:color w:val="000000"/>
                      <w:sz w:val="22"/>
                      <w:szCs w:val="22"/>
                      <w:lang w:eastAsia="en-GB"/>
                    </w:rPr>
                  </w:pPr>
                  <w:r w:rsidRPr="006B1221">
                    <w:rPr>
                      <w:rFonts w:ascii="Calibri" w:hAnsi="Calibri" w:cs="Calibri"/>
                      <w:color w:val="000000"/>
                      <w:sz w:val="22"/>
                      <w:szCs w:val="22"/>
                      <w:lang w:eastAsia="en-GB"/>
                    </w:rPr>
                    <w:t>Metropolitan Police Service</w:t>
                  </w:r>
                </w:p>
              </w:tc>
              <w:tc>
                <w:tcPr>
                  <w:tcW w:w="834" w:type="dxa"/>
                  <w:tcBorders>
                    <w:top w:val="nil"/>
                    <w:left w:val="nil"/>
                    <w:bottom w:val="single" w:sz="4" w:space="0" w:color="auto"/>
                    <w:right w:val="single" w:sz="4" w:space="0" w:color="auto"/>
                  </w:tcBorders>
                  <w:shd w:val="clear" w:color="auto" w:fill="auto"/>
                  <w:noWrap/>
                  <w:vAlign w:val="bottom"/>
                </w:tcPr>
                <w:p w14:paraId="59B66D3F" w14:textId="0506E698"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23%</w:t>
                  </w:r>
                </w:p>
              </w:tc>
              <w:tc>
                <w:tcPr>
                  <w:tcW w:w="834" w:type="dxa"/>
                  <w:tcBorders>
                    <w:top w:val="nil"/>
                    <w:left w:val="nil"/>
                    <w:bottom w:val="single" w:sz="4" w:space="0" w:color="auto"/>
                    <w:right w:val="single" w:sz="4" w:space="0" w:color="auto"/>
                  </w:tcBorders>
                  <w:shd w:val="clear" w:color="auto" w:fill="auto"/>
                  <w:noWrap/>
                  <w:vAlign w:val="bottom"/>
                </w:tcPr>
                <w:p w14:paraId="4689E633" w14:textId="46210917"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18%</w:t>
                  </w:r>
                </w:p>
              </w:tc>
              <w:tc>
                <w:tcPr>
                  <w:tcW w:w="834" w:type="dxa"/>
                  <w:tcBorders>
                    <w:top w:val="nil"/>
                    <w:left w:val="nil"/>
                    <w:bottom w:val="single" w:sz="4" w:space="0" w:color="auto"/>
                    <w:right w:val="single" w:sz="4" w:space="0" w:color="auto"/>
                  </w:tcBorders>
                  <w:shd w:val="clear" w:color="auto" w:fill="auto"/>
                  <w:noWrap/>
                  <w:vAlign w:val="bottom"/>
                </w:tcPr>
                <w:p w14:paraId="335103FA" w14:textId="04C2D004"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25%</w:t>
                  </w:r>
                </w:p>
              </w:tc>
              <w:tc>
                <w:tcPr>
                  <w:tcW w:w="834" w:type="dxa"/>
                  <w:tcBorders>
                    <w:top w:val="nil"/>
                    <w:left w:val="nil"/>
                    <w:bottom w:val="single" w:sz="4" w:space="0" w:color="auto"/>
                    <w:right w:val="single" w:sz="4" w:space="0" w:color="auto"/>
                  </w:tcBorders>
                  <w:shd w:val="clear" w:color="auto" w:fill="auto"/>
                  <w:noWrap/>
                  <w:vAlign w:val="bottom"/>
                </w:tcPr>
                <w:p w14:paraId="4612524E" w14:textId="564BF7BC"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18%</w:t>
                  </w:r>
                </w:p>
              </w:tc>
              <w:tc>
                <w:tcPr>
                  <w:tcW w:w="834" w:type="dxa"/>
                  <w:tcBorders>
                    <w:top w:val="nil"/>
                    <w:left w:val="nil"/>
                    <w:bottom w:val="single" w:sz="4" w:space="0" w:color="auto"/>
                    <w:right w:val="single" w:sz="4" w:space="0" w:color="auto"/>
                  </w:tcBorders>
                  <w:shd w:val="clear" w:color="auto" w:fill="auto"/>
                  <w:noWrap/>
                  <w:vAlign w:val="bottom"/>
                </w:tcPr>
                <w:p w14:paraId="47EC54ED" w14:textId="39C3FF1B"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13%</w:t>
                  </w:r>
                </w:p>
              </w:tc>
              <w:tc>
                <w:tcPr>
                  <w:tcW w:w="835" w:type="dxa"/>
                  <w:tcBorders>
                    <w:top w:val="single" w:sz="4" w:space="0" w:color="auto"/>
                    <w:left w:val="nil"/>
                    <w:bottom w:val="single" w:sz="4" w:space="0" w:color="auto"/>
                    <w:right w:val="single" w:sz="4" w:space="0" w:color="auto"/>
                  </w:tcBorders>
                  <w:vAlign w:val="bottom"/>
                </w:tcPr>
                <w:p w14:paraId="5082D2BA" w14:textId="2701EA46"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11%</w:t>
                  </w:r>
                </w:p>
              </w:tc>
            </w:tr>
            <w:tr w:rsidR="00E4000A" w:rsidRPr="006B1221" w14:paraId="26984543" w14:textId="77777777"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7DA02A81" w14:textId="77777777" w:rsidR="00E4000A" w:rsidRPr="006B1221" w:rsidRDefault="00E4000A" w:rsidP="00E4000A">
                  <w:pPr>
                    <w:rPr>
                      <w:rFonts w:ascii="Calibri" w:hAnsi="Calibri" w:cs="Calibri"/>
                      <w:color w:val="000000"/>
                      <w:sz w:val="22"/>
                      <w:szCs w:val="22"/>
                      <w:lang w:eastAsia="en-GB"/>
                    </w:rPr>
                  </w:pPr>
                  <w:r w:rsidRPr="006B1221">
                    <w:rPr>
                      <w:rFonts w:ascii="Calibri" w:hAnsi="Calibri" w:cs="Calibri"/>
                      <w:color w:val="000000"/>
                      <w:sz w:val="22"/>
                      <w:szCs w:val="22"/>
                      <w:lang w:eastAsia="en-GB"/>
                    </w:rPr>
                    <w:t>Your borough council</w:t>
                  </w:r>
                </w:p>
              </w:tc>
              <w:tc>
                <w:tcPr>
                  <w:tcW w:w="834" w:type="dxa"/>
                  <w:tcBorders>
                    <w:top w:val="nil"/>
                    <w:left w:val="nil"/>
                    <w:bottom w:val="single" w:sz="4" w:space="0" w:color="auto"/>
                    <w:right w:val="single" w:sz="4" w:space="0" w:color="auto"/>
                  </w:tcBorders>
                  <w:shd w:val="clear" w:color="auto" w:fill="auto"/>
                  <w:noWrap/>
                  <w:vAlign w:val="bottom"/>
                </w:tcPr>
                <w:p w14:paraId="048B8C21" w14:textId="74C905FF"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23%</w:t>
                  </w:r>
                </w:p>
              </w:tc>
              <w:tc>
                <w:tcPr>
                  <w:tcW w:w="834" w:type="dxa"/>
                  <w:tcBorders>
                    <w:top w:val="nil"/>
                    <w:left w:val="nil"/>
                    <w:bottom w:val="single" w:sz="4" w:space="0" w:color="auto"/>
                    <w:right w:val="single" w:sz="4" w:space="0" w:color="auto"/>
                  </w:tcBorders>
                  <w:shd w:val="clear" w:color="auto" w:fill="auto"/>
                  <w:noWrap/>
                  <w:vAlign w:val="bottom"/>
                </w:tcPr>
                <w:p w14:paraId="788B8BCD" w14:textId="7C66886D"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19%</w:t>
                  </w:r>
                </w:p>
              </w:tc>
              <w:tc>
                <w:tcPr>
                  <w:tcW w:w="834" w:type="dxa"/>
                  <w:tcBorders>
                    <w:top w:val="nil"/>
                    <w:left w:val="nil"/>
                    <w:bottom w:val="single" w:sz="4" w:space="0" w:color="auto"/>
                    <w:right w:val="single" w:sz="4" w:space="0" w:color="auto"/>
                  </w:tcBorders>
                  <w:shd w:val="clear" w:color="auto" w:fill="auto"/>
                  <w:noWrap/>
                  <w:vAlign w:val="bottom"/>
                </w:tcPr>
                <w:p w14:paraId="1C7F320F" w14:textId="40B2D523"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22%</w:t>
                  </w:r>
                </w:p>
              </w:tc>
              <w:tc>
                <w:tcPr>
                  <w:tcW w:w="834" w:type="dxa"/>
                  <w:tcBorders>
                    <w:top w:val="nil"/>
                    <w:left w:val="nil"/>
                    <w:bottom w:val="single" w:sz="4" w:space="0" w:color="auto"/>
                    <w:right w:val="single" w:sz="4" w:space="0" w:color="auto"/>
                  </w:tcBorders>
                  <w:shd w:val="clear" w:color="auto" w:fill="auto"/>
                  <w:noWrap/>
                  <w:vAlign w:val="bottom"/>
                </w:tcPr>
                <w:p w14:paraId="56B02338" w14:textId="3B6BBE37"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25%</w:t>
                  </w:r>
                </w:p>
              </w:tc>
              <w:tc>
                <w:tcPr>
                  <w:tcW w:w="834" w:type="dxa"/>
                  <w:tcBorders>
                    <w:top w:val="nil"/>
                    <w:left w:val="nil"/>
                    <w:bottom w:val="single" w:sz="4" w:space="0" w:color="auto"/>
                    <w:right w:val="single" w:sz="4" w:space="0" w:color="auto"/>
                  </w:tcBorders>
                  <w:shd w:val="clear" w:color="auto" w:fill="auto"/>
                  <w:noWrap/>
                  <w:vAlign w:val="bottom"/>
                </w:tcPr>
                <w:p w14:paraId="3E43F6E8" w14:textId="2F1E7A43"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19%</w:t>
                  </w:r>
                </w:p>
              </w:tc>
              <w:tc>
                <w:tcPr>
                  <w:tcW w:w="835" w:type="dxa"/>
                  <w:tcBorders>
                    <w:top w:val="single" w:sz="4" w:space="0" w:color="auto"/>
                    <w:left w:val="nil"/>
                    <w:bottom w:val="single" w:sz="4" w:space="0" w:color="auto"/>
                    <w:right w:val="single" w:sz="4" w:space="0" w:color="auto"/>
                  </w:tcBorders>
                  <w:vAlign w:val="bottom"/>
                </w:tcPr>
                <w:p w14:paraId="5063FAC5" w14:textId="0F8553A7"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8%</w:t>
                  </w:r>
                </w:p>
              </w:tc>
            </w:tr>
            <w:tr w:rsidR="00E4000A" w:rsidRPr="006B1221" w14:paraId="02D8C088" w14:textId="77777777" w:rsidTr="00622F3A">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3AA5F22F" w14:textId="77777777" w:rsidR="00E4000A" w:rsidRPr="006B1221" w:rsidRDefault="00E4000A" w:rsidP="00E4000A">
                  <w:pPr>
                    <w:rPr>
                      <w:rFonts w:ascii="Calibri" w:hAnsi="Calibri" w:cs="Calibri"/>
                      <w:color w:val="000000"/>
                      <w:sz w:val="22"/>
                      <w:szCs w:val="22"/>
                      <w:lang w:eastAsia="en-GB"/>
                    </w:rPr>
                  </w:pPr>
                  <w:r w:rsidRPr="006B1221">
                    <w:rPr>
                      <w:rFonts w:ascii="Calibri" w:hAnsi="Calibri" w:cs="Calibri"/>
                      <w:color w:val="000000"/>
                      <w:sz w:val="22"/>
                      <w:szCs w:val="22"/>
                      <w:lang w:eastAsia="en-GB"/>
                    </w:rPr>
                    <w:t xml:space="preserve">London local media </w:t>
                  </w:r>
                </w:p>
              </w:tc>
              <w:tc>
                <w:tcPr>
                  <w:tcW w:w="834" w:type="dxa"/>
                  <w:tcBorders>
                    <w:top w:val="nil"/>
                    <w:left w:val="nil"/>
                    <w:bottom w:val="single" w:sz="4" w:space="0" w:color="auto"/>
                    <w:right w:val="single" w:sz="4" w:space="0" w:color="auto"/>
                  </w:tcBorders>
                  <w:shd w:val="clear" w:color="auto" w:fill="auto"/>
                  <w:noWrap/>
                  <w:vAlign w:val="bottom"/>
                </w:tcPr>
                <w:p w14:paraId="0B48BC8F" w14:textId="5EF7EAFD"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26%</w:t>
                  </w:r>
                </w:p>
              </w:tc>
              <w:tc>
                <w:tcPr>
                  <w:tcW w:w="834" w:type="dxa"/>
                  <w:tcBorders>
                    <w:top w:val="nil"/>
                    <w:left w:val="nil"/>
                    <w:bottom w:val="single" w:sz="4" w:space="0" w:color="auto"/>
                    <w:right w:val="single" w:sz="4" w:space="0" w:color="auto"/>
                  </w:tcBorders>
                  <w:shd w:val="clear" w:color="auto" w:fill="auto"/>
                  <w:noWrap/>
                  <w:vAlign w:val="bottom"/>
                </w:tcPr>
                <w:p w14:paraId="0076785E" w14:textId="048CABF9"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14%</w:t>
                  </w:r>
                </w:p>
              </w:tc>
              <w:tc>
                <w:tcPr>
                  <w:tcW w:w="834" w:type="dxa"/>
                  <w:tcBorders>
                    <w:top w:val="nil"/>
                    <w:left w:val="nil"/>
                    <w:bottom w:val="single" w:sz="4" w:space="0" w:color="auto"/>
                    <w:right w:val="single" w:sz="4" w:space="0" w:color="auto"/>
                  </w:tcBorders>
                  <w:shd w:val="clear" w:color="auto" w:fill="auto"/>
                  <w:noWrap/>
                  <w:vAlign w:val="bottom"/>
                </w:tcPr>
                <w:p w14:paraId="5BF46D63" w14:textId="27A77596"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19%</w:t>
                  </w:r>
                </w:p>
              </w:tc>
              <w:tc>
                <w:tcPr>
                  <w:tcW w:w="834" w:type="dxa"/>
                  <w:tcBorders>
                    <w:top w:val="nil"/>
                    <w:left w:val="nil"/>
                    <w:bottom w:val="single" w:sz="4" w:space="0" w:color="auto"/>
                    <w:right w:val="single" w:sz="4" w:space="0" w:color="auto"/>
                  </w:tcBorders>
                  <w:shd w:val="clear" w:color="auto" w:fill="auto"/>
                  <w:noWrap/>
                  <w:vAlign w:val="bottom"/>
                </w:tcPr>
                <w:p w14:paraId="4B15547E" w14:textId="2F6D126F"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17%</w:t>
                  </w:r>
                </w:p>
              </w:tc>
              <w:tc>
                <w:tcPr>
                  <w:tcW w:w="834" w:type="dxa"/>
                  <w:tcBorders>
                    <w:top w:val="nil"/>
                    <w:left w:val="nil"/>
                    <w:bottom w:val="single" w:sz="4" w:space="0" w:color="auto"/>
                    <w:right w:val="single" w:sz="4" w:space="0" w:color="auto"/>
                  </w:tcBorders>
                  <w:shd w:val="clear" w:color="auto" w:fill="auto"/>
                  <w:noWrap/>
                  <w:vAlign w:val="bottom"/>
                </w:tcPr>
                <w:p w14:paraId="0C574FCD" w14:textId="3F4532CF"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30%</w:t>
                  </w:r>
                </w:p>
              </w:tc>
              <w:tc>
                <w:tcPr>
                  <w:tcW w:w="835" w:type="dxa"/>
                  <w:tcBorders>
                    <w:top w:val="single" w:sz="4" w:space="0" w:color="auto"/>
                    <w:left w:val="nil"/>
                    <w:bottom w:val="single" w:sz="4" w:space="0" w:color="auto"/>
                    <w:right w:val="single" w:sz="4" w:space="0" w:color="auto"/>
                  </w:tcBorders>
                  <w:vAlign w:val="bottom"/>
                </w:tcPr>
                <w:p w14:paraId="0C9D1FC7" w14:textId="08E6E771" w:rsidR="00E4000A" w:rsidRPr="006B1221" w:rsidRDefault="00E4000A" w:rsidP="00E4000A">
                  <w:pPr>
                    <w:jc w:val="right"/>
                    <w:rPr>
                      <w:rFonts w:ascii="Calibri" w:hAnsi="Calibri" w:cs="Calibri"/>
                      <w:color w:val="000000"/>
                      <w:sz w:val="22"/>
                      <w:szCs w:val="22"/>
                      <w:lang w:eastAsia="en-GB"/>
                    </w:rPr>
                  </w:pPr>
                  <w:r>
                    <w:rPr>
                      <w:rFonts w:ascii="Calibri" w:hAnsi="Calibri" w:cs="Calibri"/>
                      <w:color w:val="000000"/>
                      <w:sz w:val="22"/>
                      <w:szCs w:val="22"/>
                    </w:rPr>
                    <w:t>19%</w:t>
                  </w:r>
                </w:p>
              </w:tc>
            </w:tr>
          </w:tbl>
          <w:p w14:paraId="45DE51F7" w14:textId="7CFB4ED6" w:rsidR="009843B1" w:rsidRDefault="009843B1" w:rsidP="004E385F"/>
          <w:tbl>
            <w:tblPr>
              <w:tblW w:w="7679" w:type="dxa"/>
              <w:tblLayout w:type="fixed"/>
              <w:tblLook w:val="04A0" w:firstRow="1" w:lastRow="0" w:firstColumn="1" w:lastColumn="0" w:noHBand="0" w:noVBand="1"/>
            </w:tblPr>
            <w:tblGrid>
              <w:gridCol w:w="2674"/>
              <w:gridCol w:w="834"/>
              <w:gridCol w:w="834"/>
              <w:gridCol w:w="834"/>
              <w:gridCol w:w="834"/>
              <w:gridCol w:w="834"/>
              <w:gridCol w:w="835"/>
            </w:tblGrid>
            <w:tr w:rsidR="004F6DAE" w:rsidRPr="006B1221" w14:paraId="08AE186C" w14:textId="77777777" w:rsidTr="00225E1F">
              <w:trPr>
                <w:trHeight w:val="300"/>
              </w:trPr>
              <w:tc>
                <w:tcPr>
                  <w:tcW w:w="2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BFA2C" w14:textId="77777777" w:rsidR="004F6DAE" w:rsidRPr="006B1221" w:rsidRDefault="004F6DAE" w:rsidP="004F6DAE">
                  <w:pPr>
                    <w:rPr>
                      <w:rFonts w:ascii="Calibri" w:hAnsi="Calibri" w:cs="Calibri"/>
                      <w:color w:val="000000"/>
                      <w:sz w:val="22"/>
                      <w:szCs w:val="22"/>
                      <w:lang w:eastAsia="en-GB"/>
                    </w:rPr>
                  </w:pPr>
                  <w:r w:rsidRPr="006B1221">
                    <w:rPr>
                      <w:rFonts w:ascii="Calibri" w:hAnsi="Calibri" w:cs="Calibri"/>
                      <w:color w:val="000000"/>
                      <w:sz w:val="22"/>
                      <w:szCs w:val="22"/>
                      <w:lang w:eastAsia="en-GB"/>
                    </w:rPr>
                    <w:t> </w:t>
                  </w:r>
                </w:p>
              </w:tc>
              <w:tc>
                <w:tcPr>
                  <w:tcW w:w="834" w:type="dxa"/>
                  <w:tcBorders>
                    <w:top w:val="single" w:sz="4" w:space="0" w:color="auto"/>
                    <w:left w:val="nil"/>
                    <w:bottom w:val="single" w:sz="4" w:space="0" w:color="auto"/>
                    <w:right w:val="single" w:sz="4" w:space="0" w:color="auto"/>
                  </w:tcBorders>
                  <w:shd w:val="clear" w:color="auto" w:fill="auto"/>
                  <w:noWrap/>
                  <w:vAlign w:val="bottom"/>
                </w:tcPr>
                <w:p w14:paraId="7FB9112B" w14:textId="321F8B27" w:rsidR="004F6DAE" w:rsidRPr="006B1221" w:rsidRDefault="004F6DAE" w:rsidP="004F6DAE">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Disabled</w:t>
                  </w:r>
                </w:p>
              </w:tc>
              <w:tc>
                <w:tcPr>
                  <w:tcW w:w="834" w:type="dxa"/>
                  <w:tcBorders>
                    <w:top w:val="single" w:sz="4" w:space="0" w:color="auto"/>
                    <w:left w:val="nil"/>
                    <w:bottom w:val="single" w:sz="4" w:space="0" w:color="auto"/>
                    <w:right w:val="single" w:sz="4" w:space="0" w:color="auto"/>
                  </w:tcBorders>
                  <w:shd w:val="clear" w:color="auto" w:fill="auto"/>
                  <w:noWrap/>
                </w:tcPr>
                <w:p w14:paraId="79D49EBF" w14:textId="0E7384C0" w:rsidR="004F6DAE" w:rsidRPr="006B1221" w:rsidRDefault="004F6DAE" w:rsidP="004F6DAE">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Not disabled</w:t>
                  </w:r>
                </w:p>
              </w:tc>
              <w:tc>
                <w:tcPr>
                  <w:tcW w:w="834" w:type="dxa"/>
                  <w:tcBorders>
                    <w:top w:val="single" w:sz="4" w:space="0" w:color="auto"/>
                    <w:left w:val="nil"/>
                    <w:bottom w:val="single" w:sz="4" w:space="0" w:color="auto"/>
                    <w:right w:val="single" w:sz="4" w:space="0" w:color="auto"/>
                  </w:tcBorders>
                  <w:shd w:val="clear" w:color="auto" w:fill="auto"/>
                  <w:noWrap/>
                </w:tcPr>
                <w:p w14:paraId="6CDAF69A" w14:textId="0B2DEDBD" w:rsidR="004F6DAE" w:rsidRPr="006B1221" w:rsidRDefault="004F6DAE" w:rsidP="004F6DAE">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18-24</w:t>
                  </w:r>
                </w:p>
              </w:tc>
              <w:tc>
                <w:tcPr>
                  <w:tcW w:w="834" w:type="dxa"/>
                  <w:tcBorders>
                    <w:top w:val="single" w:sz="4" w:space="0" w:color="auto"/>
                    <w:left w:val="nil"/>
                    <w:bottom w:val="single" w:sz="4" w:space="0" w:color="auto"/>
                    <w:right w:val="single" w:sz="4" w:space="0" w:color="auto"/>
                  </w:tcBorders>
                  <w:shd w:val="clear" w:color="auto" w:fill="auto"/>
                  <w:noWrap/>
                </w:tcPr>
                <w:p w14:paraId="27335D78" w14:textId="38B014B9" w:rsidR="004F6DAE" w:rsidRPr="006B1221" w:rsidRDefault="004F6DAE" w:rsidP="004F6DAE">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25-49</w:t>
                  </w:r>
                </w:p>
              </w:tc>
              <w:tc>
                <w:tcPr>
                  <w:tcW w:w="834" w:type="dxa"/>
                  <w:tcBorders>
                    <w:top w:val="single" w:sz="4" w:space="0" w:color="auto"/>
                    <w:left w:val="nil"/>
                    <w:bottom w:val="single" w:sz="4" w:space="0" w:color="auto"/>
                    <w:right w:val="single" w:sz="4" w:space="0" w:color="auto"/>
                  </w:tcBorders>
                  <w:shd w:val="clear" w:color="auto" w:fill="auto"/>
                  <w:noWrap/>
                </w:tcPr>
                <w:p w14:paraId="7895913E" w14:textId="0C0F24AC" w:rsidR="004F6DAE" w:rsidRPr="006B1221" w:rsidRDefault="004F6DAE" w:rsidP="004F6DAE">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50-64</w:t>
                  </w:r>
                </w:p>
              </w:tc>
              <w:tc>
                <w:tcPr>
                  <w:tcW w:w="835" w:type="dxa"/>
                  <w:tcBorders>
                    <w:top w:val="single" w:sz="4" w:space="0" w:color="auto"/>
                    <w:left w:val="nil"/>
                    <w:bottom w:val="single" w:sz="4" w:space="0" w:color="auto"/>
                    <w:right w:val="single" w:sz="4" w:space="0" w:color="auto"/>
                  </w:tcBorders>
                </w:tcPr>
                <w:p w14:paraId="1CF1F0C3" w14:textId="314C9490" w:rsidR="004F6DAE" w:rsidRPr="006B1221" w:rsidRDefault="004F6DAE" w:rsidP="004F6DAE">
                  <w:pPr>
                    <w:jc w:val="right"/>
                    <w:rPr>
                      <w:rFonts w:ascii="Calibri" w:hAnsi="Calibri" w:cs="Calibri"/>
                      <w:b/>
                      <w:bCs/>
                      <w:color w:val="000000"/>
                      <w:sz w:val="22"/>
                      <w:szCs w:val="22"/>
                      <w:lang w:eastAsia="en-GB"/>
                    </w:rPr>
                  </w:pPr>
                  <w:r>
                    <w:rPr>
                      <w:rFonts w:ascii="Calibri" w:hAnsi="Calibri" w:cs="Calibri"/>
                      <w:b/>
                      <w:bCs/>
                      <w:color w:val="000000"/>
                      <w:sz w:val="22"/>
                      <w:szCs w:val="22"/>
                      <w:lang w:eastAsia="en-GB"/>
                    </w:rPr>
                    <w:t>65 and over</w:t>
                  </w:r>
                </w:p>
              </w:tc>
            </w:tr>
            <w:tr w:rsidR="001D254E" w:rsidRPr="006B1221" w14:paraId="7EEDCD4E" w14:textId="77777777" w:rsidTr="009334D2">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9EBA7D3" w14:textId="77777777" w:rsidR="001D254E" w:rsidRPr="006B1221" w:rsidRDefault="001D254E" w:rsidP="001D254E">
                  <w:pPr>
                    <w:rPr>
                      <w:rFonts w:ascii="Calibri" w:hAnsi="Calibri" w:cs="Calibri"/>
                      <w:color w:val="000000"/>
                      <w:sz w:val="22"/>
                      <w:szCs w:val="22"/>
                      <w:lang w:eastAsia="en-GB"/>
                    </w:rPr>
                  </w:pPr>
                  <w:r w:rsidRPr="006B1221">
                    <w:rPr>
                      <w:rFonts w:ascii="Calibri" w:hAnsi="Calibri" w:cs="Calibri"/>
                      <w:color w:val="000000"/>
                      <w:sz w:val="22"/>
                      <w:szCs w:val="22"/>
                      <w:lang w:eastAsia="en-GB"/>
                    </w:rPr>
                    <w:t>Your own GP</w:t>
                  </w:r>
                </w:p>
              </w:tc>
              <w:tc>
                <w:tcPr>
                  <w:tcW w:w="834" w:type="dxa"/>
                  <w:tcBorders>
                    <w:top w:val="nil"/>
                    <w:left w:val="nil"/>
                    <w:bottom w:val="single" w:sz="4" w:space="0" w:color="auto"/>
                    <w:right w:val="single" w:sz="4" w:space="0" w:color="auto"/>
                  </w:tcBorders>
                  <w:shd w:val="clear" w:color="auto" w:fill="auto"/>
                  <w:noWrap/>
                  <w:vAlign w:val="bottom"/>
                </w:tcPr>
                <w:p w14:paraId="00921329" w14:textId="09941891"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40%</w:t>
                  </w:r>
                </w:p>
              </w:tc>
              <w:tc>
                <w:tcPr>
                  <w:tcW w:w="834" w:type="dxa"/>
                  <w:tcBorders>
                    <w:top w:val="nil"/>
                    <w:left w:val="nil"/>
                    <w:bottom w:val="single" w:sz="4" w:space="0" w:color="auto"/>
                    <w:right w:val="single" w:sz="4" w:space="0" w:color="auto"/>
                  </w:tcBorders>
                  <w:shd w:val="clear" w:color="auto" w:fill="auto"/>
                  <w:noWrap/>
                  <w:vAlign w:val="bottom"/>
                </w:tcPr>
                <w:p w14:paraId="7EF5C6A3" w14:textId="01FCDD98"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48%</w:t>
                  </w:r>
                </w:p>
              </w:tc>
              <w:tc>
                <w:tcPr>
                  <w:tcW w:w="834" w:type="dxa"/>
                  <w:tcBorders>
                    <w:top w:val="nil"/>
                    <w:left w:val="nil"/>
                    <w:bottom w:val="single" w:sz="4" w:space="0" w:color="auto"/>
                    <w:right w:val="single" w:sz="4" w:space="0" w:color="auto"/>
                  </w:tcBorders>
                  <w:shd w:val="clear" w:color="auto" w:fill="auto"/>
                  <w:noWrap/>
                  <w:vAlign w:val="bottom"/>
                </w:tcPr>
                <w:p w14:paraId="35D244A4" w14:textId="18F0DF3D"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44%</w:t>
                  </w:r>
                </w:p>
              </w:tc>
              <w:tc>
                <w:tcPr>
                  <w:tcW w:w="834" w:type="dxa"/>
                  <w:tcBorders>
                    <w:top w:val="nil"/>
                    <w:left w:val="nil"/>
                    <w:bottom w:val="single" w:sz="4" w:space="0" w:color="auto"/>
                    <w:right w:val="single" w:sz="4" w:space="0" w:color="auto"/>
                  </w:tcBorders>
                  <w:shd w:val="clear" w:color="auto" w:fill="auto"/>
                  <w:noWrap/>
                  <w:vAlign w:val="bottom"/>
                </w:tcPr>
                <w:p w14:paraId="5EA01C78" w14:textId="4AF494E6"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38%</w:t>
                  </w:r>
                </w:p>
              </w:tc>
              <w:tc>
                <w:tcPr>
                  <w:tcW w:w="834" w:type="dxa"/>
                  <w:tcBorders>
                    <w:top w:val="nil"/>
                    <w:left w:val="nil"/>
                    <w:bottom w:val="single" w:sz="4" w:space="0" w:color="auto"/>
                    <w:right w:val="single" w:sz="4" w:space="0" w:color="auto"/>
                  </w:tcBorders>
                  <w:shd w:val="clear" w:color="auto" w:fill="auto"/>
                  <w:noWrap/>
                  <w:vAlign w:val="bottom"/>
                </w:tcPr>
                <w:p w14:paraId="3F712014" w14:textId="07AC40DC"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55%</w:t>
                  </w:r>
                </w:p>
              </w:tc>
              <w:tc>
                <w:tcPr>
                  <w:tcW w:w="835" w:type="dxa"/>
                  <w:tcBorders>
                    <w:top w:val="single" w:sz="4" w:space="0" w:color="auto"/>
                    <w:left w:val="nil"/>
                    <w:bottom w:val="single" w:sz="4" w:space="0" w:color="auto"/>
                    <w:right w:val="single" w:sz="4" w:space="0" w:color="auto"/>
                  </w:tcBorders>
                  <w:vAlign w:val="bottom"/>
                </w:tcPr>
                <w:p w14:paraId="71E87C19" w14:textId="4F8A4B10"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57%</w:t>
                  </w:r>
                </w:p>
              </w:tc>
            </w:tr>
            <w:tr w:rsidR="001D254E" w:rsidRPr="006B1221" w14:paraId="0B7E8BE1" w14:textId="77777777" w:rsidTr="009334D2">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03EA1DDA" w14:textId="77777777" w:rsidR="001D254E" w:rsidRPr="006B1221" w:rsidRDefault="001D254E" w:rsidP="001D254E">
                  <w:pPr>
                    <w:rPr>
                      <w:rFonts w:ascii="Calibri" w:hAnsi="Calibri" w:cs="Calibri"/>
                      <w:color w:val="000000"/>
                      <w:sz w:val="22"/>
                      <w:szCs w:val="22"/>
                      <w:lang w:eastAsia="en-GB"/>
                    </w:rPr>
                  </w:pPr>
                  <w:r w:rsidRPr="006B1221">
                    <w:rPr>
                      <w:rFonts w:ascii="Calibri" w:hAnsi="Calibri" w:cs="Calibri"/>
                      <w:color w:val="000000"/>
                      <w:sz w:val="22"/>
                      <w:szCs w:val="22"/>
                      <w:lang w:eastAsia="en-GB"/>
                    </w:rPr>
                    <w:t>Your local hospital</w:t>
                  </w:r>
                </w:p>
              </w:tc>
              <w:tc>
                <w:tcPr>
                  <w:tcW w:w="834" w:type="dxa"/>
                  <w:tcBorders>
                    <w:top w:val="nil"/>
                    <w:left w:val="nil"/>
                    <w:bottom w:val="single" w:sz="4" w:space="0" w:color="auto"/>
                    <w:right w:val="single" w:sz="4" w:space="0" w:color="auto"/>
                  </w:tcBorders>
                  <w:shd w:val="clear" w:color="auto" w:fill="auto"/>
                  <w:noWrap/>
                  <w:vAlign w:val="bottom"/>
                </w:tcPr>
                <w:p w14:paraId="4787F90E" w14:textId="117F313E"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37%</w:t>
                  </w:r>
                </w:p>
              </w:tc>
              <w:tc>
                <w:tcPr>
                  <w:tcW w:w="834" w:type="dxa"/>
                  <w:tcBorders>
                    <w:top w:val="nil"/>
                    <w:left w:val="nil"/>
                    <w:bottom w:val="single" w:sz="4" w:space="0" w:color="auto"/>
                    <w:right w:val="single" w:sz="4" w:space="0" w:color="auto"/>
                  </w:tcBorders>
                  <w:shd w:val="clear" w:color="auto" w:fill="auto"/>
                  <w:noWrap/>
                  <w:vAlign w:val="bottom"/>
                </w:tcPr>
                <w:p w14:paraId="466A6527" w14:textId="5CCDC3B1"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44%</w:t>
                  </w:r>
                </w:p>
              </w:tc>
              <w:tc>
                <w:tcPr>
                  <w:tcW w:w="834" w:type="dxa"/>
                  <w:tcBorders>
                    <w:top w:val="nil"/>
                    <w:left w:val="nil"/>
                    <w:bottom w:val="single" w:sz="4" w:space="0" w:color="auto"/>
                    <w:right w:val="single" w:sz="4" w:space="0" w:color="auto"/>
                  </w:tcBorders>
                  <w:shd w:val="clear" w:color="auto" w:fill="auto"/>
                  <w:noWrap/>
                  <w:vAlign w:val="bottom"/>
                </w:tcPr>
                <w:p w14:paraId="7AB7658D" w14:textId="6BB0E965"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41%</w:t>
                  </w:r>
                </w:p>
              </w:tc>
              <w:tc>
                <w:tcPr>
                  <w:tcW w:w="834" w:type="dxa"/>
                  <w:tcBorders>
                    <w:top w:val="nil"/>
                    <w:left w:val="nil"/>
                    <w:bottom w:val="single" w:sz="4" w:space="0" w:color="auto"/>
                    <w:right w:val="single" w:sz="4" w:space="0" w:color="auto"/>
                  </w:tcBorders>
                  <w:shd w:val="clear" w:color="auto" w:fill="auto"/>
                  <w:noWrap/>
                  <w:vAlign w:val="bottom"/>
                </w:tcPr>
                <w:p w14:paraId="68BFD100" w14:textId="24011E89"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34%</w:t>
                  </w:r>
                </w:p>
              </w:tc>
              <w:tc>
                <w:tcPr>
                  <w:tcW w:w="834" w:type="dxa"/>
                  <w:tcBorders>
                    <w:top w:val="nil"/>
                    <w:left w:val="nil"/>
                    <w:bottom w:val="single" w:sz="4" w:space="0" w:color="auto"/>
                    <w:right w:val="single" w:sz="4" w:space="0" w:color="auto"/>
                  </w:tcBorders>
                  <w:shd w:val="clear" w:color="auto" w:fill="auto"/>
                  <w:noWrap/>
                  <w:vAlign w:val="bottom"/>
                </w:tcPr>
                <w:p w14:paraId="21C1D3BB" w14:textId="7640F01D"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50%</w:t>
                  </w:r>
                </w:p>
              </w:tc>
              <w:tc>
                <w:tcPr>
                  <w:tcW w:w="835" w:type="dxa"/>
                  <w:tcBorders>
                    <w:top w:val="single" w:sz="4" w:space="0" w:color="auto"/>
                    <w:left w:val="nil"/>
                    <w:bottom w:val="single" w:sz="4" w:space="0" w:color="auto"/>
                    <w:right w:val="single" w:sz="4" w:space="0" w:color="auto"/>
                  </w:tcBorders>
                  <w:vAlign w:val="bottom"/>
                </w:tcPr>
                <w:p w14:paraId="23E46189" w14:textId="076E8912"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55%</w:t>
                  </w:r>
                </w:p>
              </w:tc>
            </w:tr>
            <w:tr w:rsidR="001D254E" w:rsidRPr="006B1221" w14:paraId="3C03BB14" w14:textId="77777777" w:rsidTr="009334D2">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0C8F8AE" w14:textId="77777777" w:rsidR="001D254E" w:rsidRPr="006B1221" w:rsidRDefault="001D254E" w:rsidP="001D254E">
                  <w:pPr>
                    <w:rPr>
                      <w:rFonts w:ascii="Calibri" w:hAnsi="Calibri" w:cs="Calibri"/>
                      <w:color w:val="000000"/>
                      <w:sz w:val="22"/>
                      <w:szCs w:val="22"/>
                      <w:lang w:eastAsia="en-GB"/>
                    </w:rPr>
                  </w:pPr>
                  <w:r w:rsidRPr="006B1221">
                    <w:rPr>
                      <w:rFonts w:ascii="Calibri" w:hAnsi="Calibri" w:cs="Calibri"/>
                      <w:color w:val="000000"/>
                      <w:sz w:val="22"/>
                      <w:szCs w:val="22"/>
                      <w:lang w:eastAsia="en-GB"/>
                    </w:rPr>
                    <w:t>Schools in your local area</w:t>
                  </w:r>
                </w:p>
              </w:tc>
              <w:tc>
                <w:tcPr>
                  <w:tcW w:w="834" w:type="dxa"/>
                  <w:tcBorders>
                    <w:top w:val="nil"/>
                    <w:left w:val="nil"/>
                    <w:bottom w:val="single" w:sz="4" w:space="0" w:color="auto"/>
                    <w:right w:val="single" w:sz="4" w:space="0" w:color="auto"/>
                  </w:tcBorders>
                  <w:shd w:val="clear" w:color="auto" w:fill="auto"/>
                  <w:noWrap/>
                  <w:vAlign w:val="bottom"/>
                </w:tcPr>
                <w:p w14:paraId="08F8D8B2" w14:textId="5790E4B3"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25%</w:t>
                  </w:r>
                </w:p>
              </w:tc>
              <w:tc>
                <w:tcPr>
                  <w:tcW w:w="834" w:type="dxa"/>
                  <w:tcBorders>
                    <w:top w:val="nil"/>
                    <w:left w:val="nil"/>
                    <w:bottom w:val="single" w:sz="4" w:space="0" w:color="auto"/>
                    <w:right w:val="single" w:sz="4" w:space="0" w:color="auto"/>
                  </w:tcBorders>
                  <w:shd w:val="clear" w:color="auto" w:fill="auto"/>
                  <w:noWrap/>
                  <w:vAlign w:val="bottom"/>
                </w:tcPr>
                <w:p w14:paraId="4D9DE1F4" w14:textId="5CD95556"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33%</w:t>
                  </w:r>
                </w:p>
              </w:tc>
              <w:tc>
                <w:tcPr>
                  <w:tcW w:w="834" w:type="dxa"/>
                  <w:tcBorders>
                    <w:top w:val="nil"/>
                    <w:left w:val="nil"/>
                    <w:bottom w:val="single" w:sz="4" w:space="0" w:color="auto"/>
                    <w:right w:val="single" w:sz="4" w:space="0" w:color="auto"/>
                  </w:tcBorders>
                  <w:shd w:val="clear" w:color="auto" w:fill="auto"/>
                  <w:noWrap/>
                  <w:vAlign w:val="bottom"/>
                </w:tcPr>
                <w:p w14:paraId="3CF23DCF" w14:textId="7CF6B768"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30%</w:t>
                  </w:r>
                </w:p>
              </w:tc>
              <w:tc>
                <w:tcPr>
                  <w:tcW w:w="834" w:type="dxa"/>
                  <w:tcBorders>
                    <w:top w:val="nil"/>
                    <w:left w:val="nil"/>
                    <w:bottom w:val="single" w:sz="4" w:space="0" w:color="auto"/>
                    <w:right w:val="single" w:sz="4" w:space="0" w:color="auto"/>
                  </w:tcBorders>
                  <w:shd w:val="clear" w:color="auto" w:fill="auto"/>
                  <w:noWrap/>
                  <w:vAlign w:val="bottom"/>
                </w:tcPr>
                <w:p w14:paraId="343A04D1" w14:textId="59FD4596"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27%</w:t>
                  </w:r>
                </w:p>
              </w:tc>
              <w:tc>
                <w:tcPr>
                  <w:tcW w:w="834" w:type="dxa"/>
                  <w:tcBorders>
                    <w:top w:val="nil"/>
                    <w:left w:val="nil"/>
                    <w:bottom w:val="single" w:sz="4" w:space="0" w:color="auto"/>
                    <w:right w:val="single" w:sz="4" w:space="0" w:color="auto"/>
                  </w:tcBorders>
                  <w:shd w:val="clear" w:color="auto" w:fill="auto"/>
                  <w:noWrap/>
                  <w:vAlign w:val="bottom"/>
                </w:tcPr>
                <w:p w14:paraId="30D79EDE" w14:textId="34489194"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36%</w:t>
                  </w:r>
                </w:p>
              </w:tc>
              <w:tc>
                <w:tcPr>
                  <w:tcW w:w="835" w:type="dxa"/>
                  <w:tcBorders>
                    <w:top w:val="single" w:sz="4" w:space="0" w:color="auto"/>
                    <w:left w:val="nil"/>
                    <w:bottom w:val="single" w:sz="4" w:space="0" w:color="auto"/>
                    <w:right w:val="single" w:sz="4" w:space="0" w:color="auto"/>
                  </w:tcBorders>
                  <w:vAlign w:val="bottom"/>
                </w:tcPr>
                <w:p w14:paraId="5AF6756D" w14:textId="368D2C5D"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36%</w:t>
                  </w:r>
                </w:p>
              </w:tc>
            </w:tr>
            <w:tr w:rsidR="001D254E" w:rsidRPr="006B1221" w14:paraId="7C18F50E" w14:textId="77777777" w:rsidTr="009334D2">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762CB7FE" w14:textId="77777777" w:rsidR="001D254E" w:rsidRPr="006B1221" w:rsidRDefault="001D254E" w:rsidP="001D254E">
                  <w:pPr>
                    <w:rPr>
                      <w:rFonts w:ascii="Calibri" w:hAnsi="Calibri" w:cs="Calibri"/>
                      <w:color w:val="000000"/>
                      <w:sz w:val="22"/>
                      <w:szCs w:val="22"/>
                      <w:lang w:eastAsia="en-GB"/>
                    </w:rPr>
                  </w:pPr>
                  <w:r w:rsidRPr="006B1221">
                    <w:rPr>
                      <w:rFonts w:ascii="Calibri" w:hAnsi="Calibri" w:cs="Calibri"/>
                      <w:color w:val="000000"/>
                      <w:sz w:val="22"/>
                      <w:szCs w:val="22"/>
                      <w:lang w:eastAsia="en-GB"/>
                    </w:rPr>
                    <w:t>Transport for London</w:t>
                  </w:r>
                </w:p>
              </w:tc>
              <w:tc>
                <w:tcPr>
                  <w:tcW w:w="834" w:type="dxa"/>
                  <w:tcBorders>
                    <w:top w:val="nil"/>
                    <w:left w:val="nil"/>
                    <w:bottom w:val="single" w:sz="4" w:space="0" w:color="auto"/>
                    <w:right w:val="single" w:sz="4" w:space="0" w:color="auto"/>
                  </w:tcBorders>
                  <w:shd w:val="clear" w:color="auto" w:fill="auto"/>
                  <w:noWrap/>
                  <w:vAlign w:val="bottom"/>
                </w:tcPr>
                <w:p w14:paraId="2C9B8149" w14:textId="6CA28450"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29%</w:t>
                  </w:r>
                </w:p>
              </w:tc>
              <w:tc>
                <w:tcPr>
                  <w:tcW w:w="834" w:type="dxa"/>
                  <w:tcBorders>
                    <w:top w:val="nil"/>
                    <w:left w:val="nil"/>
                    <w:bottom w:val="single" w:sz="4" w:space="0" w:color="auto"/>
                    <w:right w:val="single" w:sz="4" w:space="0" w:color="auto"/>
                  </w:tcBorders>
                  <w:shd w:val="clear" w:color="auto" w:fill="auto"/>
                  <w:noWrap/>
                  <w:vAlign w:val="bottom"/>
                </w:tcPr>
                <w:p w14:paraId="64BBAAA7" w14:textId="18ABB4A3"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34%</w:t>
                  </w:r>
                </w:p>
              </w:tc>
              <w:tc>
                <w:tcPr>
                  <w:tcW w:w="834" w:type="dxa"/>
                  <w:tcBorders>
                    <w:top w:val="nil"/>
                    <w:left w:val="nil"/>
                    <w:bottom w:val="single" w:sz="4" w:space="0" w:color="auto"/>
                    <w:right w:val="single" w:sz="4" w:space="0" w:color="auto"/>
                  </w:tcBorders>
                  <w:shd w:val="clear" w:color="auto" w:fill="auto"/>
                  <w:noWrap/>
                  <w:vAlign w:val="bottom"/>
                </w:tcPr>
                <w:p w14:paraId="0E8EC068" w14:textId="1FE70A64"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39%</w:t>
                  </w:r>
                </w:p>
              </w:tc>
              <w:tc>
                <w:tcPr>
                  <w:tcW w:w="834" w:type="dxa"/>
                  <w:tcBorders>
                    <w:top w:val="nil"/>
                    <w:left w:val="nil"/>
                    <w:bottom w:val="single" w:sz="4" w:space="0" w:color="auto"/>
                    <w:right w:val="single" w:sz="4" w:space="0" w:color="auto"/>
                  </w:tcBorders>
                  <w:shd w:val="clear" w:color="auto" w:fill="auto"/>
                  <w:noWrap/>
                  <w:vAlign w:val="bottom"/>
                </w:tcPr>
                <w:p w14:paraId="1578134D" w14:textId="646360D5"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30%</w:t>
                  </w:r>
                </w:p>
              </w:tc>
              <w:tc>
                <w:tcPr>
                  <w:tcW w:w="834" w:type="dxa"/>
                  <w:tcBorders>
                    <w:top w:val="nil"/>
                    <w:left w:val="nil"/>
                    <w:bottom w:val="single" w:sz="4" w:space="0" w:color="auto"/>
                    <w:right w:val="single" w:sz="4" w:space="0" w:color="auto"/>
                  </w:tcBorders>
                  <w:shd w:val="clear" w:color="auto" w:fill="auto"/>
                  <w:noWrap/>
                  <w:vAlign w:val="bottom"/>
                </w:tcPr>
                <w:p w14:paraId="3A892952" w14:textId="5F05BD25"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39%</w:t>
                  </w:r>
                </w:p>
              </w:tc>
              <w:tc>
                <w:tcPr>
                  <w:tcW w:w="835" w:type="dxa"/>
                  <w:tcBorders>
                    <w:top w:val="single" w:sz="4" w:space="0" w:color="auto"/>
                    <w:left w:val="nil"/>
                    <w:bottom w:val="single" w:sz="4" w:space="0" w:color="auto"/>
                    <w:right w:val="single" w:sz="4" w:space="0" w:color="auto"/>
                  </w:tcBorders>
                  <w:vAlign w:val="bottom"/>
                </w:tcPr>
                <w:p w14:paraId="3B02F90B" w14:textId="60EBC7CC"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25%</w:t>
                  </w:r>
                </w:p>
              </w:tc>
            </w:tr>
            <w:tr w:rsidR="001D254E" w:rsidRPr="006B1221" w14:paraId="54E2C08F" w14:textId="77777777" w:rsidTr="009334D2">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647E2706" w14:textId="157E7460" w:rsidR="001D254E" w:rsidRPr="006B1221" w:rsidRDefault="001D254E" w:rsidP="001D254E">
                  <w:pPr>
                    <w:rPr>
                      <w:rFonts w:ascii="Calibri" w:hAnsi="Calibri" w:cs="Calibri"/>
                      <w:color w:val="000000"/>
                      <w:sz w:val="22"/>
                      <w:szCs w:val="22"/>
                      <w:lang w:eastAsia="en-GB"/>
                    </w:rPr>
                  </w:pPr>
                  <w:r w:rsidRPr="006B1221">
                    <w:rPr>
                      <w:rFonts w:ascii="Calibri" w:hAnsi="Calibri" w:cs="Calibri"/>
                      <w:color w:val="000000"/>
                      <w:sz w:val="22"/>
                      <w:szCs w:val="22"/>
                      <w:lang w:eastAsia="en-GB"/>
                    </w:rPr>
                    <w:t>Metropolitan Police Service</w:t>
                  </w:r>
                </w:p>
              </w:tc>
              <w:tc>
                <w:tcPr>
                  <w:tcW w:w="834" w:type="dxa"/>
                  <w:tcBorders>
                    <w:top w:val="nil"/>
                    <w:left w:val="nil"/>
                    <w:bottom w:val="single" w:sz="4" w:space="0" w:color="auto"/>
                    <w:right w:val="single" w:sz="4" w:space="0" w:color="auto"/>
                  </w:tcBorders>
                  <w:shd w:val="clear" w:color="auto" w:fill="auto"/>
                  <w:noWrap/>
                  <w:vAlign w:val="bottom"/>
                </w:tcPr>
                <w:p w14:paraId="56AC04A5" w14:textId="31BAD05F"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21%</w:t>
                  </w:r>
                </w:p>
              </w:tc>
              <w:tc>
                <w:tcPr>
                  <w:tcW w:w="834" w:type="dxa"/>
                  <w:tcBorders>
                    <w:top w:val="nil"/>
                    <w:left w:val="nil"/>
                    <w:bottom w:val="single" w:sz="4" w:space="0" w:color="auto"/>
                    <w:right w:val="single" w:sz="4" w:space="0" w:color="auto"/>
                  </w:tcBorders>
                  <w:shd w:val="clear" w:color="auto" w:fill="auto"/>
                  <w:noWrap/>
                  <w:vAlign w:val="bottom"/>
                </w:tcPr>
                <w:p w14:paraId="203B0443" w14:textId="0E3D9661"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21%</w:t>
                  </w:r>
                </w:p>
              </w:tc>
              <w:tc>
                <w:tcPr>
                  <w:tcW w:w="834" w:type="dxa"/>
                  <w:tcBorders>
                    <w:top w:val="nil"/>
                    <w:left w:val="nil"/>
                    <w:bottom w:val="single" w:sz="4" w:space="0" w:color="auto"/>
                    <w:right w:val="single" w:sz="4" w:space="0" w:color="auto"/>
                  </w:tcBorders>
                  <w:shd w:val="clear" w:color="auto" w:fill="auto"/>
                  <w:noWrap/>
                  <w:vAlign w:val="bottom"/>
                </w:tcPr>
                <w:p w14:paraId="131F3B69" w14:textId="7D8670AC"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21%</w:t>
                  </w:r>
                </w:p>
              </w:tc>
              <w:tc>
                <w:tcPr>
                  <w:tcW w:w="834" w:type="dxa"/>
                  <w:tcBorders>
                    <w:top w:val="nil"/>
                    <w:left w:val="nil"/>
                    <w:bottom w:val="single" w:sz="4" w:space="0" w:color="auto"/>
                    <w:right w:val="single" w:sz="4" w:space="0" w:color="auto"/>
                  </w:tcBorders>
                  <w:shd w:val="clear" w:color="auto" w:fill="auto"/>
                  <w:noWrap/>
                  <w:vAlign w:val="bottom"/>
                </w:tcPr>
                <w:p w14:paraId="3036E00C" w14:textId="5386C74F"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16%</w:t>
                  </w:r>
                </w:p>
              </w:tc>
              <w:tc>
                <w:tcPr>
                  <w:tcW w:w="834" w:type="dxa"/>
                  <w:tcBorders>
                    <w:top w:val="nil"/>
                    <w:left w:val="nil"/>
                    <w:bottom w:val="single" w:sz="4" w:space="0" w:color="auto"/>
                    <w:right w:val="single" w:sz="4" w:space="0" w:color="auto"/>
                  </w:tcBorders>
                  <w:shd w:val="clear" w:color="auto" w:fill="auto"/>
                  <w:noWrap/>
                  <w:vAlign w:val="bottom"/>
                </w:tcPr>
                <w:p w14:paraId="443DE8FA" w14:textId="7A36213C"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27%</w:t>
                  </w:r>
                </w:p>
              </w:tc>
              <w:tc>
                <w:tcPr>
                  <w:tcW w:w="835" w:type="dxa"/>
                  <w:tcBorders>
                    <w:top w:val="single" w:sz="4" w:space="0" w:color="auto"/>
                    <w:left w:val="nil"/>
                    <w:bottom w:val="single" w:sz="4" w:space="0" w:color="auto"/>
                    <w:right w:val="single" w:sz="4" w:space="0" w:color="auto"/>
                  </w:tcBorders>
                  <w:vAlign w:val="bottom"/>
                </w:tcPr>
                <w:p w14:paraId="161F96A4" w14:textId="505CB90C"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27%</w:t>
                  </w:r>
                </w:p>
              </w:tc>
            </w:tr>
            <w:tr w:rsidR="001D254E" w:rsidRPr="006B1221" w14:paraId="28510207" w14:textId="77777777" w:rsidTr="009334D2">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1A020385" w14:textId="77777777" w:rsidR="001D254E" w:rsidRPr="006B1221" w:rsidRDefault="001D254E" w:rsidP="001D254E">
                  <w:pPr>
                    <w:rPr>
                      <w:rFonts w:ascii="Calibri" w:hAnsi="Calibri" w:cs="Calibri"/>
                      <w:color w:val="000000"/>
                      <w:sz w:val="22"/>
                      <w:szCs w:val="22"/>
                      <w:lang w:eastAsia="en-GB"/>
                    </w:rPr>
                  </w:pPr>
                  <w:r w:rsidRPr="006B1221">
                    <w:rPr>
                      <w:rFonts w:ascii="Calibri" w:hAnsi="Calibri" w:cs="Calibri"/>
                      <w:color w:val="000000"/>
                      <w:sz w:val="22"/>
                      <w:szCs w:val="22"/>
                      <w:lang w:eastAsia="en-GB"/>
                    </w:rPr>
                    <w:t>Your borough council</w:t>
                  </w:r>
                </w:p>
              </w:tc>
              <w:tc>
                <w:tcPr>
                  <w:tcW w:w="834" w:type="dxa"/>
                  <w:tcBorders>
                    <w:top w:val="nil"/>
                    <w:left w:val="nil"/>
                    <w:bottom w:val="single" w:sz="4" w:space="0" w:color="auto"/>
                    <w:right w:val="single" w:sz="4" w:space="0" w:color="auto"/>
                  </w:tcBorders>
                  <w:shd w:val="clear" w:color="auto" w:fill="auto"/>
                  <w:noWrap/>
                  <w:vAlign w:val="bottom"/>
                </w:tcPr>
                <w:p w14:paraId="5A4DC96D" w14:textId="66D8A826"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22%</w:t>
                  </w:r>
                </w:p>
              </w:tc>
              <w:tc>
                <w:tcPr>
                  <w:tcW w:w="834" w:type="dxa"/>
                  <w:tcBorders>
                    <w:top w:val="nil"/>
                    <w:left w:val="nil"/>
                    <w:bottom w:val="single" w:sz="4" w:space="0" w:color="auto"/>
                    <w:right w:val="single" w:sz="4" w:space="0" w:color="auto"/>
                  </w:tcBorders>
                  <w:shd w:val="clear" w:color="auto" w:fill="auto"/>
                  <w:noWrap/>
                  <w:vAlign w:val="bottom"/>
                </w:tcPr>
                <w:p w14:paraId="753538B4" w14:textId="6BBEAD73"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21%</w:t>
                  </w:r>
                </w:p>
              </w:tc>
              <w:tc>
                <w:tcPr>
                  <w:tcW w:w="834" w:type="dxa"/>
                  <w:tcBorders>
                    <w:top w:val="nil"/>
                    <w:left w:val="nil"/>
                    <w:bottom w:val="single" w:sz="4" w:space="0" w:color="auto"/>
                    <w:right w:val="single" w:sz="4" w:space="0" w:color="auto"/>
                  </w:tcBorders>
                  <w:shd w:val="clear" w:color="auto" w:fill="auto"/>
                  <w:noWrap/>
                  <w:vAlign w:val="bottom"/>
                </w:tcPr>
                <w:p w14:paraId="15CD56FE" w14:textId="299D683A"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26%</w:t>
                  </w:r>
                </w:p>
              </w:tc>
              <w:tc>
                <w:tcPr>
                  <w:tcW w:w="834" w:type="dxa"/>
                  <w:tcBorders>
                    <w:top w:val="nil"/>
                    <w:left w:val="nil"/>
                    <w:bottom w:val="single" w:sz="4" w:space="0" w:color="auto"/>
                    <w:right w:val="single" w:sz="4" w:space="0" w:color="auto"/>
                  </w:tcBorders>
                  <w:shd w:val="clear" w:color="auto" w:fill="auto"/>
                  <w:noWrap/>
                  <w:vAlign w:val="bottom"/>
                </w:tcPr>
                <w:p w14:paraId="018EFCA8" w14:textId="74990C2B"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19%</w:t>
                  </w:r>
                </w:p>
              </w:tc>
              <w:tc>
                <w:tcPr>
                  <w:tcW w:w="834" w:type="dxa"/>
                  <w:tcBorders>
                    <w:top w:val="nil"/>
                    <w:left w:val="nil"/>
                    <w:bottom w:val="single" w:sz="4" w:space="0" w:color="auto"/>
                    <w:right w:val="single" w:sz="4" w:space="0" w:color="auto"/>
                  </w:tcBorders>
                  <w:shd w:val="clear" w:color="auto" w:fill="auto"/>
                  <w:noWrap/>
                  <w:vAlign w:val="bottom"/>
                </w:tcPr>
                <w:p w14:paraId="657F7D37" w14:textId="09A5F11D"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24%</w:t>
                  </w:r>
                </w:p>
              </w:tc>
              <w:tc>
                <w:tcPr>
                  <w:tcW w:w="835" w:type="dxa"/>
                  <w:tcBorders>
                    <w:top w:val="single" w:sz="4" w:space="0" w:color="auto"/>
                    <w:left w:val="nil"/>
                    <w:bottom w:val="single" w:sz="4" w:space="0" w:color="auto"/>
                    <w:right w:val="single" w:sz="4" w:space="0" w:color="auto"/>
                  </w:tcBorders>
                  <w:vAlign w:val="bottom"/>
                </w:tcPr>
                <w:p w14:paraId="66F38C0F" w14:textId="1033D655"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22%</w:t>
                  </w:r>
                </w:p>
              </w:tc>
            </w:tr>
            <w:tr w:rsidR="001D254E" w:rsidRPr="006B1221" w14:paraId="0F97C056" w14:textId="77777777" w:rsidTr="009334D2">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46C79392" w14:textId="77777777" w:rsidR="001D254E" w:rsidRPr="006B1221" w:rsidRDefault="001D254E" w:rsidP="001D254E">
                  <w:pPr>
                    <w:rPr>
                      <w:rFonts w:ascii="Calibri" w:hAnsi="Calibri" w:cs="Calibri"/>
                      <w:color w:val="000000"/>
                      <w:sz w:val="22"/>
                      <w:szCs w:val="22"/>
                      <w:lang w:eastAsia="en-GB"/>
                    </w:rPr>
                  </w:pPr>
                  <w:r w:rsidRPr="006B1221">
                    <w:rPr>
                      <w:rFonts w:ascii="Calibri" w:hAnsi="Calibri" w:cs="Calibri"/>
                      <w:color w:val="000000"/>
                      <w:sz w:val="22"/>
                      <w:szCs w:val="22"/>
                      <w:lang w:eastAsia="en-GB"/>
                    </w:rPr>
                    <w:t xml:space="preserve">London local media </w:t>
                  </w:r>
                </w:p>
              </w:tc>
              <w:tc>
                <w:tcPr>
                  <w:tcW w:w="834" w:type="dxa"/>
                  <w:tcBorders>
                    <w:top w:val="nil"/>
                    <w:left w:val="nil"/>
                    <w:bottom w:val="single" w:sz="4" w:space="0" w:color="auto"/>
                    <w:right w:val="single" w:sz="4" w:space="0" w:color="auto"/>
                  </w:tcBorders>
                  <w:shd w:val="clear" w:color="auto" w:fill="auto"/>
                  <w:noWrap/>
                  <w:vAlign w:val="bottom"/>
                </w:tcPr>
                <w:p w14:paraId="71751763" w14:textId="20B79944"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27%</w:t>
                  </w:r>
                </w:p>
              </w:tc>
              <w:tc>
                <w:tcPr>
                  <w:tcW w:w="834" w:type="dxa"/>
                  <w:tcBorders>
                    <w:top w:val="nil"/>
                    <w:left w:val="nil"/>
                    <w:bottom w:val="single" w:sz="4" w:space="0" w:color="auto"/>
                    <w:right w:val="single" w:sz="4" w:space="0" w:color="auto"/>
                  </w:tcBorders>
                  <w:shd w:val="clear" w:color="auto" w:fill="auto"/>
                  <w:noWrap/>
                  <w:vAlign w:val="bottom"/>
                </w:tcPr>
                <w:p w14:paraId="340F1884" w14:textId="0D11070C"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18%</w:t>
                  </w:r>
                </w:p>
              </w:tc>
              <w:tc>
                <w:tcPr>
                  <w:tcW w:w="834" w:type="dxa"/>
                  <w:tcBorders>
                    <w:top w:val="nil"/>
                    <w:left w:val="nil"/>
                    <w:bottom w:val="single" w:sz="4" w:space="0" w:color="auto"/>
                    <w:right w:val="single" w:sz="4" w:space="0" w:color="auto"/>
                  </w:tcBorders>
                  <w:shd w:val="clear" w:color="auto" w:fill="auto"/>
                  <w:noWrap/>
                  <w:vAlign w:val="bottom"/>
                </w:tcPr>
                <w:p w14:paraId="422C5AFE" w14:textId="16B448B9"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31%</w:t>
                  </w:r>
                </w:p>
              </w:tc>
              <w:tc>
                <w:tcPr>
                  <w:tcW w:w="834" w:type="dxa"/>
                  <w:tcBorders>
                    <w:top w:val="nil"/>
                    <w:left w:val="nil"/>
                    <w:bottom w:val="single" w:sz="4" w:space="0" w:color="auto"/>
                    <w:right w:val="single" w:sz="4" w:space="0" w:color="auto"/>
                  </w:tcBorders>
                  <w:shd w:val="clear" w:color="auto" w:fill="auto"/>
                  <w:noWrap/>
                  <w:vAlign w:val="bottom"/>
                </w:tcPr>
                <w:p w14:paraId="3AAB9059" w14:textId="2E74D219"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19%</w:t>
                  </w:r>
                </w:p>
              </w:tc>
              <w:tc>
                <w:tcPr>
                  <w:tcW w:w="834" w:type="dxa"/>
                  <w:tcBorders>
                    <w:top w:val="nil"/>
                    <w:left w:val="nil"/>
                    <w:bottom w:val="single" w:sz="4" w:space="0" w:color="auto"/>
                    <w:right w:val="single" w:sz="4" w:space="0" w:color="auto"/>
                  </w:tcBorders>
                  <w:shd w:val="clear" w:color="auto" w:fill="auto"/>
                  <w:noWrap/>
                  <w:vAlign w:val="bottom"/>
                </w:tcPr>
                <w:p w14:paraId="62CD8A82" w14:textId="3E1F91D1"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22%</w:t>
                  </w:r>
                </w:p>
              </w:tc>
              <w:tc>
                <w:tcPr>
                  <w:tcW w:w="835" w:type="dxa"/>
                  <w:tcBorders>
                    <w:top w:val="single" w:sz="4" w:space="0" w:color="auto"/>
                    <w:left w:val="nil"/>
                    <w:bottom w:val="single" w:sz="4" w:space="0" w:color="auto"/>
                    <w:right w:val="single" w:sz="4" w:space="0" w:color="auto"/>
                  </w:tcBorders>
                  <w:vAlign w:val="bottom"/>
                </w:tcPr>
                <w:p w14:paraId="024797D0" w14:textId="2FB22D9B" w:rsidR="001D254E" w:rsidRPr="006B1221" w:rsidRDefault="001D254E" w:rsidP="001D254E">
                  <w:pPr>
                    <w:jc w:val="right"/>
                    <w:rPr>
                      <w:rFonts w:ascii="Calibri" w:hAnsi="Calibri" w:cs="Calibri"/>
                      <w:color w:val="000000"/>
                      <w:sz w:val="22"/>
                      <w:szCs w:val="22"/>
                      <w:lang w:eastAsia="en-GB"/>
                    </w:rPr>
                  </w:pPr>
                  <w:r>
                    <w:rPr>
                      <w:rFonts w:ascii="Calibri" w:hAnsi="Calibri" w:cs="Calibri"/>
                      <w:color w:val="000000"/>
                      <w:sz w:val="22"/>
                      <w:szCs w:val="22"/>
                    </w:rPr>
                    <w:t>14%</w:t>
                  </w:r>
                </w:p>
              </w:tc>
            </w:tr>
          </w:tbl>
          <w:p w14:paraId="500C6D57" w14:textId="07CB775A" w:rsidR="009843B1" w:rsidRDefault="009843B1" w:rsidP="004E385F"/>
          <w:p w14:paraId="2BB2A040" w14:textId="77777777" w:rsidR="004E385F" w:rsidRPr="000471F1" w:rsidRDefault="004E385F" w:rsidP="004E385F"/>
        </w:tc>
      </w:tr>
    </w:tbl>
    <w:p w14:paraId="1FD3ACF7" w14:textId="169F4C3C" w:rsidR="00B87A10" w:rsidRPr="007F62FB" w:rsidRDefault="00B87A10" w:rsidP="00B87A10">
      <w:pPr>
        <w:rPr>
          <w:b/>
          <w:bCs/>
        </w:rPr>
      </w:pPr>
      <w:r w:rsidRPr="007F62FB">
        <w:rPr>
          <w:b/>
          <w:bCs/>
        </w:rPr>
        <w:lastRenderedPageBreak/>
        <w:t xml:space="preserve">Commentary – </w:t>
      </w:r>
      <w:r>
        <w:rPr>
          <w:b/>
          <w:bCs/>
        </w:rPr>
        <w:t>institutional trust</w:t>
      </w:r>
    </w:p>
    <w:p w14:paraId="449E41D7" w14:textId="18B9514E" w:rsidR="00920FBF" w:rsidRDefault="00C12155" w:rsidP="00B87A10">
      <w:pPr>
        <w:pStyle w:val="ListParagraph"/>
        <w:numPr>
          <w:ilvl w:val="0"/>
          <w:numId w:val="10"/>
        </w:numPr>
      </w:pPr>
      <w:r>
        <w:t>In May 2023, l</w:t>
      </w:r>
      <w:r w:rsidR="00920FBF">
        <w:t>ess than half of all Londoners sa</w:t>
      </w:r>
      <w:r>
        <w:t>id</w:t>
      </w:r>
      <w:r w:rsidR="00920FBF">
        <w:t xml:space="preserve"> that they ha</w:t>
      </w:r>
      <w:r>
        <w:t>d</w:t>
      </w:r>
      <w:r w:rsidR="00920FBF">
        <w:t xml:space="preserve"> trust in each of the seven </w:t>
      </w:r>
      <w:r w:rsidR="004C0BF2">
        <w:t>services</w:t>
      </w:r>
      <w:r w:rsidR="00920FBF">
        <w:t xml:space="preserve"> presented to them. </w:t>
      </w:r>
    </w:p>
    <w:p w14:paraId="2A64E864" w14:textId="77777777" w:rsidR="00427056" w:rsidRDefault="00920FBF" w:rsidP="00920FBF">
      <w:pPr>
        <w:pStyle w:val="ListParagraph"/>
        <w:numPr>
          <w:ilvl w:val="0"/>
          <w:numId w:val="10"/>
        </w:numPr>
      </w:pPr>
      <w:r>
        <w:t xml:space="preserve">Londoners were most trusting of medical institutions; their own GP (52%) and their local hospital (51%) were most likely to be scored as trustworthy. However, trust in these institutions had declined to 45% and 41% respectively by May 2023. </w:t>
      </w:r>
      <w:r w:rsidR="00427056">
        <w:t>Trust in Transport for London (TfL) had also declined from 37% in February 2022 to 32% in May 2023.</w:t>
      </w:r>
    </w:p>
    <w:p w14:paraId="4675834F" w14:textId="51CE6636" w:rsidR="00920FBF" w:rsidRDefault="00920FBF" w:rsidP="00920FBF">
      <w:pPr>
        <w:pStyle w:val="ListParagraph"/>
        <w:numPr>
          <w:ilvl w:val="0"/>
          <w:numId w:val="10"/>
        </w:numPr>
      </w:pPr>
      <w:r>
        <w:t xml:space="preserve">Trust in local schools had </w:t>
      </w:r>
      <w:r w:rsidR="00427056">
        <w:t>seen a small decline from</w:t>
      </w:r>
      <w:r>
        <w:t xml:space="preserve"> February 2022 </w:t>
      </w:r>
      <w:r w:rsidR="00427056">
        <w:t>to</w:t>
      </w:r>
      <w:r>
        <w:t xml:space="preserve"> </w:t>
      </w:r>
      <w:r w:rsidR="00C12155">
        <w:t>May</w:t>
      </w:r>
      <w:r>
        <w:t xml:space="preserve"> 2023</w:t>
      </w:r>
      <w:r w:rsidR="004C0BF2">
        <w:t xml:space="preserve"> (34% and </w:t>
      </w:r>
      <w:r>
        <w:t>3</w:t>
      </w:r>
      <w:r w:rsidR="00C12155">
        <w:t>1</w:t>
      </w:r>
      <w:r>
        <w:t>% deeming them as trustworthy</w:t>
      </w:r>
      <w:r w:rsidR="004C0BF2">
        <w:t xml:space="preserve"> respectively)</w:t>
      </w:r>
      <w:r>
        <w:t>.</w:t>
      </w:r>
    </w:p>
    <w:p w14:paraId="18706307" w14:textId="70C65092" w:rsidR="00B87A10" w:rsidRDefault="00920FBF" w:rsidP="00920FBF">
      <w:pPr>
        <w:pStyle w:val="ListParagraph"/>
        <w:numPr>
          <w:ilvl w:val="0"/>
          <w:numId w:val="10"/>
        </w:numPr>
      </w:pPr>
      <w:r>
        <w:t>In February 2022, trust was lowest for London media, borough councils and the Metropolitan Police Service</w:t>
      </w:r>
      <w:r w:rsidR="00DC5573">
        <w:t xml:space="preserve"> (MPS)</w:t>
      </w:r>
      <w:r>
        <w:t xml:space="preserve">. This remained the case by </w:t>
      </w:r>
      <w:r w:rsidR="00C12155">
        <w:t>May</w:t>
      </w:r>
      <w:r>
        <w:t xml:space="preserve"> 2023, with trustworthiness standing at </w:t>
      </w:r>
      <w:r w:rsidR="00C12155">
        <w:t>20</w:t>
      </w:r>
      <w:r>
        <w:t>%, 2</w:t>
      </w:r>
      <w:r w:rsidR="00C12155">
        <w:t>1</w:t>
      </w:r>
      <w:r>
        <w:t>% and 21% respectively.</w:t>
      </w:r>
    </w:p>
    <w:p w14:paraId="50BE8CE7" w14:textId="7F5614AA" w:rsidR="00821D5F" w:rsidRDefault="00821D5F" w:rsidP="00471227">
      <w:pPr>
        <w:pStyle w:val="ListParagraph"/>
        <w:numPr>
          <w:ilvl w:val="0"/>
          <w:numId w:val="10"/>
        </w:numPr>
      </w:pPr>
      <w:r>
        <w:t xml:space="preserve">In May 2023, trust varied between males and females for the </w:t>
      </w:r>
      <w:r w:rsidR="00282045">
        <w:t>MPS</w:t>
      </w:r>
      <w:r>
        <w:t>, borough council</w:t>
      </w:r>
      <w:r w:rsidR="009C17DB">
        <w:t>s</w:t>
      </w:r>
      <w:r>
        <w:t xml:space="preserve"> and London local media. Females reported lower trust than males for these three </w:t>
      </w:r>
      <w:r w:rsidR="004C0BF2">
        <w:t>services</w:t>
      </w:r>
      <w:r>
        <w:t xml:space="preserve">. </w:t>
      </w:r>
    </w:p>
    <w:p w14:paraId="421B77BA" w14:textId="2780DFED" w:rsidR="00821D5F" w:rsidRDefault="00821D5F" w:rsidP="00471227">
      <w:pPr>
        <w:pStyle w:val="ListParagraph"/>
        <w:numPr>
          <w:ilvl w:val="0"/>
          <w:numId w:val="10"/>
        </w:numPr>
      </w:pPr>
      <w:r>
        <w:t xml:space="preserve">White Londoners tended to be more trusting of medical institutions </w:t>
      </w:r>
      <w:proofErr w:type="gramStart"/>
      <w:r>
        <w:t>i.e.</w:t>
      </w:r>
      <w:proofErr w:type="gramEnd"/>
      <w:r>
        <w:t xml:space="preserve"> their own GP and the local hospital, </w:t>
      </w:r>
      <w:r w:rsidR="00DC5573">
        <w:t xml:space="preserve">and the MPS, </w:t>
      </w:r>
      <w:r>
        <w:t xml:space="preserve">than Londoners from all other ethnic groups. </w:t>
      </w:r>
    </w:p>
    <w:p w14:paraId="1A673B72" w14:textId="2E3F47F2" w:rsidR="00427056" w:rsidRDefault="00427056" w:rsidP="00471227">
      <w:pPr>
        <w:pStyle w:val="ListParagraph"/>
        <w:numPr>
          <w:ilvl w:val="0"/>
          <w:numId w:val="10"/>
        </w:numPr>
      </w:pPr>
      <w:r>
        <w:t xml:space="preserve">Black Londoners </w:t>
      </w:r>
      <w:r w:rsidR="004C0BF2">
        <w:t>we</w:t>
      </w:r>
      <w:r>
        <w:t>re more</w:t>
      </w:r>
      <w:r w:rsidR="00282045">
        <w:t xml:space="preserve"> likely to be</w:t>
      </w:r>
      <w:r>
        <w:t xml:space="preserve"> trusting of London local media than Londoners from all other ethnic groups, while disabled Londoners also report</w:t>
      </w:r>
      <w:r w:rsidR="004C0BF2">
        <w:t>ed</w:t>
      </w:r>
      <w:r>
        <w:t xml:space="preserve"> </w:t>
      </w:r>
      <w:r w:rsidR="00282045">
        <w:t xml:space="preserve">to a </w:t>
      </w:r>
      <w:r>
        <w:t xml:space="preserve">greater </w:t>
      </w:r>
      <w:r w:rsidR="00282045">
        <w:t xml:space="preserve">extent </w:t>
      </w:r>
      <w:r>
        <w:t xml:space="preserve">trust of this </w:t>
      </w:r>
      <w:r w:rsidR="00282045">
        <w:t>service</w:t>
      </w:r>
      <w:r>
        <w:t xml:space="preserve"> than non-disabled Londoners.</w:t>
      </w:r>
    </w:p>
    <w:p w14:paraId="133491FE" w14:textId="0B8C4994" w:rsidR="00427056" w:rsidRDefault="00427056" w:rsidP="00427056">
      <w:pPr>
        <w:pStyle w:val="ListParagraph"/>
        <w:numPr>
          <w:ilvl w:val="0"/>
          <w:numId w:val="10"/>
        </w:numPr>
      </w:pPr>
      <w:r>
        <w:t xml:space="preserve">Disabled Londoners tended to be less trusting of medical institutions </w:t>
      </w:r>
      <w:proofErr w:type="gramStart"/>
      <w:r>
        <w:t>i.e.</w:t>
      </w:r>
      <w:proofErr w:type="gramEnd"/>
      <w:r>
        <w:t xml:space="preserve"> their own GP and the local hospital, TfL, and schools in their local area than non-disabled Londoners. </w:t>
      </w:r>
    </w:p>
    <w:p w14:paraId="6EBC0B6E" w14:textId="24EE31BB" w:rsidR="00821D5F" w:rsidRDefault="009C17DB" w:rsidP="00471227">
      <w:pPr>
        <w:pStyle w:val="ListParagraph"/>
        <w:numPr>
          <w:ilvl w:val="0"/>
          <w:numId w:val="10"/>
        </w:numPr>
      </w:pPr>
      <w:r>
        <w:t xml:space="preserve">Older Londoners aged 50 and over tended to be more trusting of medical institutions </w:t>
      </w:r>
      <w:proofErr w:type="gramStart"/>
      <w:r>
        <w:t>i.e.</w:t>
      </w:r>
      <w:proofErr w:type="gramEnd"/>
      <w:r>
        <w:t xml:space="preserve"> their own GP and the local hospital, than Londoners aged under 50.</w:t>
      </w:r>
    </w:p>
    <w:p w14:paraId="492CB602" w14:textId="3B93EB0C" w:rsidR="00427056" w:rsidRDefault="009C17DB" w:rsidP="00471227">
      <w:pPr>
        <w:pStyle w:val="ListParagraph"/>
        <w:numPr>
          <w:ilvl w:val="0"/>
          <w:numId w:val="10"/>
        </w:numPr>
      </w:pPr>
      <w:r>
        <w:t xml:space="preserve">Londoners aged 25-49 were the age group least likely to trust each of the service listed, apart from London local media, where Londoners aged 65 and over were the least trustful. </w:t>
      </w:r>
    </w:p>
    <w:p w14:paraId="5C8FF1DA" w14:textId="6FC8173E" w:rsidR="00B87A10" w:rsidRDefault="00B87A10"/>
    <w:p w14:paraId="6A309371" w14:textId="649541DF" w:rsidR="009E070F" w:rsidRDefault="009E070F"/>
    <w:p w14:paraId="4D0CF076" w14:textId="0471C0A7" w:rsidR="009E070F" w:rsidRDefault="009E070F"/>
    <w:p w14:paraId="1AF87BB8" w14:textId="49AF0C66" w:rsidR="009E070F" w:rsidRDefault="009E070F"/>
    <w:p w14:paraId="5B7B74A1" w14:textId="2A361A95" w:rsidR="009E070F" w:rsidRDefault="009E070F"/>
    <w:p w14:paraId="78A694A7" w14:textId="29A1B24C" w:rsidR="009E070F" w:rsidRDefault="009E070F"/>
    <w:p w14:paraId="3B41C92E" w14:textId="65CFACB2" w:rsidR="009E070F" w:rsidRDefault="009E070F"/>
    <w:p w14:paraId="6B211156" w14:textId="6EA306ED" w:rsidR="009E070F" w:rsidRDefault="009E070F"/>
    <w:p w14:paraId="7F4DA782" w14:textId="61201857" w:rsidR="009E070F" w:rsidRDefault="009E070F"/>
    <w:p w14:paraId="2752B406" w14:textId="2AD10BAB" w:rsidR="009E070F" w:rsidRDefault="009E070F"/>
    <w:p w14:paraId="30B96F85" w14:textId="54F81755" w:rsidR="009E070F" w:rsidRDefault="009E070F"/>
    <w:p w14:paraId="4CA405CC" w14:textId="4B7F4EDB" w:rsidR="009E070F" w:rsidRDefault="009E070F"/>
    <w:p w14:paraId="6E01090A" w14:textId="38C4AA89" w:rsidR="009E070F" w:rsidRDefault="009E070F"/>
    <w:p w14:paraId="6BCF24CE" w14:textId="04C3E747" w:rsidR="009E070F" w:rsidRDefault="009E070F"/>
    <w:p w14:paraId="6A8C4CC2" w14:textId="236990A2" w:rsidR="009E070F" w:rsidRDefault="009E070F"/>
    <w:p w14:paraId="23DE6EBF" w14:textId="274B4B56" w:rsidR="009E070F" w:rsidRDefault="009E070F"/>
    <w:p w14:paraId="0E95F3B1" w14:textId="29B291C9" w:rsidR="009E070F" w:rsidRDefault="009E070F"/>
    <w:p w14:paraId="428FA69C" w14:textId="1BF7794E" w:rsidR="009E070F" w:rsidRDefault="009E070F"/>
    <w:p w14:paraId="7FF55583" w14:textId="01DE7AEE" w:rsidR="009E070F" w:rsidRDefault="009E070F"/>
    <w:p w14:paraId="4F1EA525" w14:textId="65B26E7C" w:rsidR="009E070F" w:rsidRDefault="009E070F"/>
    <w:p w14:paraId="09456710" w14:textId="468F8663" w:rsidR="009E070F" w:rsidRDefault="009E070F"/>
    <w:p w14:paraId="0B2358F0" w14:textId="77777777" w:rsidR="009E070F" w:rsidRDefault="009E070F"/>
    <w:p w14:paraId="7C9BAC98" w14:textId="77777777" w:rsidR="00B87A10" w:rsidRDefault="00B87A10"/>
    <w:tbl>
      <w:tblPr>
        <w:tblStyle w:val="TableGrid"/>
        <w:tblW w:w="0" w:type="auto"/>
        <w:tblLayout w:type="fixed"/>
        <w:tblLook w:val="04A0" w:firstRow="1" w:lastRow="0" w:firstColumn="1" w:lastColumn="0" w:noHBand="0" w:noVBand="1"/>
      </w:tblPr>
      <w:tblGrid>
        <w:gridCol w:w="1115"/>
        <w:gridCol w:w="4727"/>
        <w:gridCol w:w="3174"/>
      </w:tblGrid>
      <w:tr w:rsidR="004E385F" w:rsidRPr="003E202F" w14:paraId="0BCA95E9" w14:textId="77777777" w:rsidTr="00622F3A">
        <w:tc>
          <w:tcPr>
            <w:tcW w:w="1115" w:type="dxa"/>
            <w:vMerge w:val="restart"/>
            <w:vAlign w:val="center"/>
          </w:tcPr>
          <w:p w14:paraId="55B91866" w14:textId="1D3CB63B" w:rsidR="004E385F" w:rsidRPr="003E202F" w:rsidRDefault="004E385F" w:rsidP="004E385F">
            <w:r>
              <w:t>6</w:t>
            </w:r>
          </w:p>
        </w:tc>
        <w:tc>
          <w:tcPr>
            <w:tcW w:w="4727" w:type="dxa"/>
          </w:tcPr>
          <w:p w14:paraId="38E9DF3E" w14:textId="10A27533" w:rsidR="004E385F" w:rsidRPr="004C361A" w:rsidRDefault="00D16D51" w:rsidP="004E385F">
            <w:pPr>
              <w:rPr>
                <w:b/>
                <w:bCs/>
              </w:rPr>
            </w:pPr>
            <w:r w:rsidRPr="00D16D51">
              <w:rPr>
                <w:b/>
                <w:bCs/>
              </w:rPr>
              <w:t>Experience of unfair treatment</w:t>
            </w:r>
            <w:r w:rsidR="004E385F">
              <w:rPr>
                <w:b/>
                <w:bCs/>
              </w:rPr>
              <w:t>:</w:t>
            </w:r>
          </w:p>
          <w:p w14:paraId="7F260D5C" w14:textId="4C9DF9EB" w:rsidR="004E385F" w:rsidRPr="000471F1" w:rsidRDefault="00471F31" w:rsidP="004E385F">
            <w:r w:rsidRPr="006B1221">
              <w:t xml:space="preserve">Proportion of Londoners </w:t>
            </w:r>
            <w:r w:rsidRPr="00471F31">
              <w:t>treated unfairly in the last 12 months because of one or several protected characteristics or because of their social class</w:t>
            </w:r>
          </w:p>
        </w:tc>
        <w:tc>
          <w:tcPr>
            <w:tcW w:w="3174" w:type="dxa"/>
          </w:tcPr>
          <w:p w14:paraId="71DB7955" w14:textId="4C2298EF" w:rsidR="004E385F" w:rsidRPr="000471F1" w:rsidRDefault="00F77F5C" w:rsidP="004E385F">
            <w:hyperlink r:id="rId22" w:history="1">
              <w:r w:rsidR="00D16D51" w:rsidRPr="006B348A">
                <w:rPr>
                  <w:rStyle w:val="Hyperlink"/>
                </w:rPr>
                <w:t>Survey of Londoners</w:t>
              </w:r>
            </w:hyperlink>
          </w:p>
        </w:tc>
      </w:tr>
      <w:tr w:rsidR="004E385F" w:rsidRPr="003E202F" w14:paraId="5830FD5B" w14:textId="77777777" w:rsidTr="00622F3A">
        <w:tc>
          <w:tcPr>
            <w:tcW w:w="1115" w:type="dxa"/>
            <w:vMerge/>
          </w:tcPr>
          <w:p w14:paraId="75E5D200" w14:textId="77777777" w:rsidR="004E385F" w:rsidRPr="003E202F" w:rsidRDefault="004E385F" w:rsidP="004E385F"/>
        </w:tc>
        <w:tc>
          <w:tcPr>
            <w:tcW w:w="7901" w:type="dxa"/>
            <w:gridSpan w:val="2"/>
          </w:tcPr>
          <w:p w14:paraId="61A8874D" w14:textId="75C85EC1" w:rsidR="004E385F" w:rsidRDefault="004E385F" w:rsidP="004E385F"/>
          <w:p w14:paraId="3B0AA5AF" w14:textId="2283070A" w:rsidR="00F66B44" w:rsidRDefault="00F66B44" w:rsidP="004E385F"/>
          <w:tbl>
            <w:tblPr>
              <w:tblpPr w:leftFromText="180" w:rightFromText="180" w:vertAnchor="text" w:horzAnchor="margin" w:tblpY="-102"/>
              <w:tblOverlap w:val="never"/>
              <w:tblW w:w="7280" w:type="dxa"/>
              <w:tblLayout w:type="fixed"/>
              <w:tblLook w:val="04A0" w:firstRow="1" w:lastRow="0" w:firstColumn="1" w:lastColumn="0" w:noHBand="0" w:noVBand="1"/>
            </w:tblPr>
            <w:tblGrid>
              <w:gridCol w:w="980"/>
              <w:gridCol w:w="3940"/>
              <w:gridCol w:w="1180"/>
              <w:gridCol w:w="1180"/>
            </w:tblGrid>
            <w:tr w:rsidR="00F66B44" w:rsidRPr="00471F31" w14:paraId="03B917BF" w14:textId="77777777" w:rsidTr="00F66B44">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40C75" w14:textId="77777777" w:rsidR="00F66B44" w:rsidRPr="00471F31" w:rsidRDefault="00F66B44" w:rsidP="00F66B44">
                  <w:pPr>
                    <w:rPr>
                      <w:rFonts w:ascii="Calibri" w:hAnsi="Calibri" w:cs="Calibri"/>
                      <w:color w:val="000000"/>
                      <w:sz w:val="22"/>
                      <w:szCs w:val="22"/>
                      <w:lang w:eastAsia="en-GB"/>
                    </w:rPr>
                  </w:pPr>
                  <w:r w:rsidRPr="00471F31">
                    <w:rPr>
                      <w:rFonts w:ascii="Calibri" w:hAnsi="Calibri" w:cs="Calibri"/>
                      <w:color w:val="000000"/>
                      <w:sz w:val="22"/>
                      <w:szCs w:val="22"/>
                      <w:lang w:eastAsia="en-GB"/>
                    </w:rPr>
                    <w:t> </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14:paraId="615EB427" w14:textId="77777777" w:rsidR="00F66B44" w:rsidRPr="00471F31" w:rsidRDefault="00F66B44" w:rsidP="00F66B44">
                  <w:pPr>
                    <w:rPr>
                      <w:rFonts w:ascii="Calibri" w:hAnsi="Calibri" w:cs="Calibri"/>
                      <w:color w:val="000000"/>
                      <w:sz w:val="22"/>
                      <w:szCs w:val="22"/>
                      <w:lang w:eastAsia="en-GB"/>
                    </w:rPr>
                  </w:pPr>
                  <w:r w:rsidRPr="00471F31">
                    <w:rPr>
                      <w:rFonts w:ascii="Calibri" w:hAnsi="Calibri" w:cs="Calibri"/>
                      <w:color w:val="000000"/>
                      <w:sz w:val="22"/>
                      <w:szCs w:val="22"/>
                      <w:lang w:eastAsia="en-GB"/>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0932193C" w14:textId="77777777" w:rsidR="00F66B44" w:rsidRPr="00471F31" w:rsidRDefault="00F66B44" w:rsidP="00F66B44">
                  <w:pPr>
                    <w:rPr>
                      <w:rFonts w:ascii="Calibri" w:hAnsi="Calibri" w:cs="Calibri"/>
                      <w:b/>
                      <w:bCs/>
                      <w:sz w:val="22"/>
                      <w:szCs w:val="22"/>
                      <w:lang w:eastAsia="en-GB"/>
                    </w:rPr>
                  </w:pPr>
                  <w:r w:rsidRPr="00471F31">
                    <w:rPr>
                      <w:rFonts w:ascii="Calibri" w:hAnsi="Calibri" w:cs="Calibri"/>
                      <w:b/>
                      <w:bCs/>
                      <w:sz w:val="22"/>
                      <w:szCs w:val="22"/>
                      <w:lang w:eastAsia="en-GB"/>
                    </w:rPr>
                    <w:t>2018-19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1FEB6D6" w14:textId="77777777" w:rsidR="00F66B44" w:rsidRPr="00471F31" w:rsidRDefault="00F66B44" w:rsidP="00F66B44">
                  <w:pPr>
                    <w:rPr>
                      <w:rFonts w:ascii="Calibri" w:hAnsi="Calibri" w:cs="Calibri"/>
                      <w:b/>
                      <w:bCs/>
                      <w:color w:val="000000"/>
                      <w:sz w:val="22"/>
                      <w:szCs w:val="22"/>
                      <w:lang w:eastAsia="en-GB"/>
                    </w:rPr>
                  </w:pPr>
                  <w:r w:rsidRPr="00471F31">
                    <w:rPr>
                      <w:rFonts w:ascii="Calibri" w:hAnsi="Calibri" w:cs="Calibri"/>
                      <w:b/>
                      <w:bCs/>
                      <w:color w:val="000000"/>
                      <w:sz w:val="22"/>
                      <w:szCs w:val="22"/>
                      <w:lang w:eastAsia="en-GB"/>
                    </w:rPr>
                    <w:t>2021-22 (%)</w:t>
                  </w:r>
                </w:p>
              </w:tc>
            </w:tr>
            <w:tr w:rsidR="00F66B44" w:rsidRPr="00471F31" w14:paraId="5B05790B"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6ED0B25B" w14:textId="77777777" w:rsidR="00F66B44" w:rsidRPr="00471F31" w:rsidRDefault="00F66B44" w:rsidP="00F66B44">
                  <w:pPr>
                    <w:rPr>
                      <w:rFonts w:ascii="Calibri" w:hAnsi="Calibri" w:cs="Calibri"/>
                      <w:b/>
                      <w:bCs/>
                      <w:sz w:val="22"/>
                      <w:szCs w:val="22"/>
                      <w:lang w:eastAsia="en-GB"/>
                    </w:rPr>
                  </w:pPr>
                  <w:r w:rsidRPr="00471F31">
                    <w:rPr>
                      <w:rFonts w:ascii="Calibri" w:hAnsi="Calibri" w:cs="Calibri"/>
                      <w:b/>
                      <w:bCs/>
                      <w:sz w:val="22"/>
                      <w:szCs w:val="22"/>
                      <w:lang w:eastAsia="en-GB"/>
                    </w:rPr>
                    <w:t>Total</w:t>
                  </w:r>
                </w:p>
              </w:tc>
              <w:tc>
                <w:tcPr>
                  <w:tcW w:w="3940" w:type="dxa"/>
                  <w:tcBorders>
                    <w:top w:val="nil"/>
                    <w:left w:val="nil"/>
                    <w:bottom w:val="single" w:sz="4" w:space="0" w:color="auto"/>
                    <w:right w:val="single" w:sz="4" w:space="0" w:color="auto"/>
                  </w:tcBorders>
                  <w:shd w:val="clear" w:color="000000" w:fill="FFFFFF"/>
                  <w:noWrap/>
                  <w:vAlign w:val="bottom"/>
                  <w:hideMark/>
                </w:tcPr>
                <w:p w14:paraId="57574132"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96D09FC" w14:textId="77777777" w:rsidR="00F66B44" w:rsidRPr="00471F31" w:rsidRDefault="00F66B44" w:rsidP="00F66B44">
                  <w:pPr>
                    <w:jc w:val="right"/>
                    <w:rPr>
                      <w:rFonts w:ascii="Calibri" w:hAnsi="Calibri" w:cs="Calibri"/>
                      <w:b/>
                      <w:bCs/>
                      <w:sz w:val="22"/>
                      <w:szCs w:val="22"/>
                      <w:lang w:eastAsia="en-GB"/>
                    </w:rPr>
                  </w:pPr>
                  <w:r w:rsidRPr="00471F31">
                    <w:rPr>
                      <w:rFonts w:ascii="Calibri" w:hAnsi="Calibri" w:cs="Calibri"/>
                      <w:b/>
                      <w:bCs/>
                      <w:sz w:val="22"/>
                      <w:szCs w:val="22"/>
                      <w:lang w:eastAsia="en-GB"/>
                    </w:rPr>
                    <w:t>35</w:t>
                  </w:r>
                </w:p>
              </w:tc>
              <w:tc>
                <w:tcPr>
                  <w:tcW w:w="1180" w:type="dxa"/>
                  <w:tcBorders>
                    <w:top w:val="nil"/>
                    <w:left w:val="nil"/>
                    <w:bottom w:val="single" w:sz="4" w:space="0" w:color="auto"/>
                    <w:right w:val="single" w:sz="4" w:space="0" w:color="auto"/>
                  </w:tcBorders>
                  <w:shd w:val="clear" w:color="000000" w:fill="FFFFFF"/>
                  <w:noWrap/>
                  <w:vAlign w:val="bottom"/>
                  <w:hideMark/>
                </w:tcPr>
                <w:p w14:paraId="7724D4D2" w14:textId="77777777" w:rsidR="00F66B44" w:rsidRPr="00471F31" w:rsidRDefault="00F66B44" w:rsidP="00F66B44">
                  <w:pPr>
                    <w:jc w:val="right"/>
                    <w:rPr>
                      <w:rFonts w:ascii="Calibri" w:hAnsi="Calibri" w:cs="Calibri"/>
                      <w:b/>
                      <w:bCs/>
                      <w:sz w:val="22"/>
                      <w:szCs w:val="22"/>
                      <w:lang w:eastAsia="en-GB"/>
                    </w:rPr>
                  </w:pPr>
                  <w:r w:rsidRPr="00471F31">
                    <w:rPr>
                      <w:rFonts w:ascii="Calibri" w:hAnsi="Calibri" w:cs="Calibri"/>
                      <w:b/>
                      <w:bCs/>
                      <w:sz w:val="22"/>
                      <w:szCs w:val="22"/>
                      <w:lang w:eastAsia="en-GB"/>
                    </w:rPr>
                    <w:t>36</w:t>
                  </w:r>
                </w:p>
              </w:tc>
            </w:tr>
            <w:tr w:rsidR="00F66B44" w:rsidRPr="00471F31" w14:paraId="48C18F53"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7C018577"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Gender</w:t>
                  </w:r>
                </w:p>
              </w:tc>
              <w:tc>
                <w:tcPr>
                  <w:tcW w:w="3940" w:type="dxa"/>
                  <w:tcBorders>
                    <w:top w:val="nil"/>
                    <w:left w:val="nil"/>
                    <w:bottom w:val="single" w:sz="4" w:space="0" w:color="auto"/>
                    <w:right w:val="single" w:sz="4" w:space="0" w:color="auto"/>
                  </w:tcBorders>
                  <w:shd w:val="clear" w:color="000000" w:fill="FFFFFF"/>
                  <w:noWrap/>
                  <w:vAlign w:val="bottom"/>
                  <w:hideMark/>
                </w:tcPr>
                <w:p w14:paraId="616A2AB4"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Man</w:t>
                  </w:r>
                </w:p>
              </w:tc>
              <w:tc>
                <w:tcPr>
                  <w:tcW w:w="1180" w:type="dxa"/>
                  <w:tcBorders>
                    <w:top w:val="nil"/>
                    <w:left w:val="nil"/>
                    <w:bottom w:val="single" w:sz="4" w:space="0" w:color="auto"/>
                    <w:right w:val="single" w:sz="4" w:space="0" w:color="auto"/>
                  </w:tcBorders>
                  <w:shd w:val="clear" w:color="000000" w:fill="FFFFFF"/>
                  <w:noWrap/>
                  <w:vAlign w:val="bottom"/>
                  <w:hideMark/>
                </w:tcPr>
                <w:p w14:paraId="40F51AA0"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31</w:t>
                  </w:r>
                </w:p>
              </w:tc>
              <w:tc>
                <w:tcPr>
                  <w:tcW w:w="1180" w:type="dxa"/>
                  <w:tcBorders>
                    <w:top w:val="nil"/>
                    <w:left w:val="nil"/>
                    <w:bottom w:val="single" w:sz="4" w:space="0" w:color="auto"/>
                    <w:right w:val="single" w:sz="4" w:space="0" w:color="auto"/>
                  </w:tcBorders>
                  <w:shd w:val="clear" w:color="000000" w:fill="FFFFFF"/>
                  <w:noWrap/>
                  <w:vAlign w:val="bottom"/>
                  <w:hideMark/>
                </w:tcPr>
                <w:p w14:paraId="160B40CC"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29</w:t>
                  </w:r>
                </w:p>
              </w:tc>
            </w:tr>
            <w:tr w:rsidR="00F66B44" w:rsidRPr="00471F31" w14:paraId="7C868272"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44A44C5A"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6E11F36E"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Woman</w:t>
                  </w:r>
                </w:p>
              </w:tc>
              <w:tc>
                <w:tcPr>
                  <w:tcW w:w="1180" w:type="dxa"/>
                  <w:tcBorders>
                    <w:top w:val="nil"/>
                    <w:left w:val="nil"/>
                    <w:bottom w:val="single" w:sz="4" w:space="0" w:color="auto"/>
                    <w:right w:val="single" w:sz="4" w:space="0" w:color="auto"/>
                  </w:tcBorders>
                  <w:shd w:val="clear" w:color="000000" w:fill="FFFFFF"/>
                  <w:noWrap/>
                  <w:vAlign w:val="bottom"/>
                  <w:hideMark/>
                </w:tcPr>
                <w:p w14:paraId="41B4C1E4"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38</w:t>
                  </w:r>
                </w:p>
              </w:tc>
              <w:tc>
                <w:tcPr>
                  <w:tcW w:w="1180" w:type="dxa"/>
                  <w:tcBorders>
                    <w:top w:val="nil"/>
                    <w:left w:val="nil"/>
                    <w:bottom w:val="single" w:sz="4" w:space="0" w:color="auto"/>
                    <w:right w:val="single" w:sz="4" w:space="0" w:color="auto"/>
                  </w:tcBorders>
                  <w:shd w:val="clear" w:color="000000" w:fill="FFFFFF"/>
                  <w:noWrap/>
                  <w:vAlign w:val="bottom"/>
                  <w:hideMark/>
                </w:tcPr>
                <w:p w14:paraId="4E7F1647"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41</w:t>
                  </w:r>
                </w:p>
              </w:tc>
            </w:tr>
            <w:tr w:rsidR="00F66B44" w:rsidRPr="00471F31" w14:paraId="52697AAC"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4F475BC1"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Age</w:t>
                  </w:r>
                </w:p>
              </w:tc>
              <w:tc>
                <w:tcPr>
                  <w:tcW w:w="3940" w:type="dxa"/>
                  <w:tcBorders>
                    <w:top w:val="nil"/>
                    <w:left w:val="nil"/>
                    <w:bottom w:val="single" w:sz="4" w:space="0" w:color="auto"/>
                    <w:right w:val="single" w:sz="4" w:space="0" w:color="auto"/>
                  </w:tcBorders>
                  <w:shd w:val="clear" w:color="000000" w:fill="FFFFFF"/>
                  <w:noWrap/>
                  <w:vAlign w:val="bottom"/>
                  <w:hideMark/>
                </w:tcPr>
                <w:p w14:paraId="7F97DD31"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16 to 24</w:t>
                  </w:r>
                </w:p>
              </w:tc>
              <w:tc>
                <w:tcPr>
                  <w:tcW w:w="1180" w:type="dxa"/>
                  <w:tcBorders>
                    <w:top w:val="nil"/>
                    <w:left w:val="nil"/>
                    <w:bottom w:val="single" w:sz="4" w:space="0" w:color="auto"/>
                    <w:right w:val="single" w:sz="4" w:space="0" w:color="auto"/>
                  </w:tcBorders>
                  <w:shd w:val="clear" w:color="000000" w:fill="FFFFFF"/>
                  <w:noWrap/>
                  <w:vAlign w:val="bottom"/>
                  <w:hideMark/>
                </w:tcPr>
                <w:p w14:paraId="000D9817"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44</w:t>
                  </w:r>
                </w:p>
              </w:tc>
              <w:tc>
                <w:tcPr>
                  <w:tcW w:w="1180" w:type="dxa"/>
                  <w:tcBorders>
                    <w:top w:val="nil"/>
                    <w:left w:val="nil"/>
                    <w:bottom w:val="single" w:sz="4" w:space="0" w:color="auto"/>
                    <w:right w:val="single" w:sz="4" w:space="0" w:color="auto"/>
                  </w:tcBorders>
                  <w:shd w:val="clear" w:color="000000" w:fill="FFFFFF"/>
                  <w:noWrap/>
                  <w:vAlign w:val="bottom"/>
                  <w:hideMark/>
                </w:tcPr>
                <w:p w14:paraId="2490646D"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48</w:t>
                  </w:r>
                </w:p>
              </w:tc>
            </w:tr>
            <w:tr w:rsidR="00F66B44" w:rsidRPr="00471F31" w14:paraId="0B4D6CCD"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3393EE21"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4D233311"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25 to 34</w:t>
                  </w:r>
                </w:p>
              </w:tc>
              <w:tc>
                <w:tcPr>
                  <w:tcW w:w="1180" w:type="dxa"/>
                  <w:tcBorders>
                    <w:top w:val="nil"/>
                    <w:left w:val="nil"/>
                    <w:bottom w:val="single" w:sz="4" w:space="0" w:color="auto"/>
                    <w:right w:val="single" w:sz="4" w:space="0" w:color="auto"/>
                  </w:tcBorders>
                  <w:shd w:val="clear" w:color="000000" w:fill="FFFFFF"/>
                  <w:noWrap/>
                  <w:vAlign w:val="bottom"/>
                  <w:hideMark/>
                </w:tcPr>
                <w:p w14:paraId="5A6AED2A"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43</w:t>
                  </w:r>
                </w:p>
              </w:tc>
              <w:tc>
                <w:tcPr>
                  <w:tcW w:w="1180" w:type="dxa"/>
                  <w:tcBorders>
                    <w:top w:val="nil"/>
                    <w:left w:val="nil"/>
                    <w:bottom w:val="single" w:sz="4" w:space="0" w:color="auto"/>
                    <w:right w:val="single" w:sz="4" w:space="0" w:color="auto"/>
                  </w:tcBorders>
                  <w:shd w:val="clear" w:color="000000" w:fill="FFFFFF"/>
                  <w:noWrap/>
                  <w:vAlign w:val="bottom"/>
                  <w:hideMark/>
                </w:tcPr>
                <w:p w14:paraId="531943DE"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42</w:t>
                  </w:r>
                </w:p>
              </w:tc>
            </w:tr>
            <w:tr w:rsidR="00F66B44" w:rsidRPr="00471F31" w14:paraId="7FF93494"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34539D16"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06BE19B5"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35 to 49</w:t>
                  </w:r>
                </w:p>
              </w:tc>
              <w:tc>
                <w:tcPr>
                  <w:tcW w:w="1180" w:type="dxa"/>
                  <w:tcBorders>
                    <w:top w:val="nil"/>
                    <w:left w:val="nil"/>
                    <w:bottom w:val="single" w:sz="4" w:space="0" w:color="auto"/>
                    <w:right w:val="single" w:sz="4" w:space="0" w:color="auto"/>
                  </w:tcBorders>
                  <w:shd w:val="clear" w:color="000000" w:fill="FFFFFF"/>
                  <w:noWrap/>
                  <w:vAlign w:val="bottom"/>
                  <w:hideMark/>
                </w:tcPr>
                <w:p w14:paraId="45ECD785"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34</w:t>
                  </w:r>
                </w:p>
              </w:tc>
              <w:tc>
                <w:tcPr>
                  <w:tcW w:w="1180" w:type="dxa"/>
                  <w:tcBorders>
                    <w:top w:val="nil"/>
                    <w:left w:val="nil"/>
                    <w:bottom w:val="single" w:sz="4" w:space="0" w:color="auto"/>
                    <w:right w:val="single" w:sz="4" w:space="0" w:color="auto"/>
                  </w:tcBorders>
                  <w:shd w:val="clear" w:color="000000" w:fill="FFFFFF"/>
                  <w:noWrap/>
                  <w:vAlign w:val="bottom"/>
                  <w:hideMark/>
                </w:tcPr>
                <w:p w14:paraId="2A14EDF2"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36</w:t>
                  </w:r>
                </w:p>
              </w:tc>
            </w:tr>
            <w:tr w:rsidR="00F66B44" w:rsidRPr="00471F31" w14:paraId="632E1D98"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1662FF8A"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6EF208A7"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50 to 64</w:t>
                  </w:r>
                </w:p>
              </w:tc>
              <w:tc>
                <w:tcPr>
                  <w:tcW w:w="1180" w:type="dxa"/>
                  <w:tcBorders>
                    <w:top w:val="nil"/>
                    <w:left w:val="nil"/>
                    <w:bottom w:val="single" w:sz="4" w:space="0" w:color="auto"/>
                    <w:right w:val="single" w:sz="4" w:space="0" w:color="auto"/>
                  </w:tcBorders>
                  <w:shd w:val="clear" w:color="000000" w:fill="FFFFFF"/>
                  <w:noWrap/>
                  <w:vAlign w:val="bottom"/>
                  <w:hideMark/>
                </w:tcPr>
                <w:p w14:paraId="5642DF5C"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30</w:t>
                  </w:r>
                </w:p>
              </w:tc>
              <w:tc>
                <w:tcPr>
                  <w:tcW w:w="1180" w:type="dxa"/>
                  <w:tcBorders>
                    <w:top w:val="nil"/>
                    <w:left w:val="nil"/>
                    <w:bottom w:val="single" w:sz="4" w:space="0" w:color="auto"/>
                    <w:right w:val="single" w:sz="4" w:space="0" w:color="auto"/>
                  </w:tcBorders>
                  <w:shd w:val="clear" w:color="000000" w:fill="FFFFFF"/>
                  <w:noWrap/>
                  <w:vAlign w:val="bottom"/>
                  <w:hideMark/>
                </w:tcPr>
                <w:p w14:paraId="5E7FAD74"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30</w:t>
                  </w:r>
                </w:p>
              </w:tc>
            </w:tr>
            <w:tr w:rsidR="00F66B44" w:rsidRPr="00471F31" w14:paraId="09F7C39F"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7B3243FB"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5266E660"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65 and over</w:t>
                  </w:r>
                </w:p>
              </w:tc>
              <w:tc>
                <w:tcPr>
                  <w:tcW w:w="1180" w:type="dxa"/>
                  <w:tcBorders>
                    <w:top w:val="nil"/>
                    <w:left w:val="nil"/>
                    <w:bottom w:val="single" w:sz="4" w:space="0" w:color="auto"/>
                    <w:right w:val="single" w:sz="4" w:space="0" w:color="auto"/>
                  </w:tcBorders>
                  <w:shd w:val="clear" w:color="000000" w:fill="FFFFFF"/>
                  <w:noWrap/>
                  <w:vAlign w:val="bottom"/>
                  <w:hideMark/>
                </w:tcPr>
                <w:p w14:paraId="50A0C3D2"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22</w:t>
                  </w:r>
                </w:p>
              </w:tc>
              <w:tc>
                <w:tcPr>
                  <w:tcW w:w="1180" w:type="dxa"/>
                  <w:tcBorders>
                    <w:top w:val="nil"/>
                    <w:left w:val="nil"/>
                    <w:bottom w:val="single" w:sz="4" w:space="0" w:color="auto"/>
                    <w:right w:val="single" w:sz="4" w:space="0" w:color="auto"/>
                  </w:tcBorders>
                  <w:shd w:val="clear" w:color="000000" w:fill="FFFFFF"/>
                  <w:noWrap/>
                  <w:vAlign w:val="bottom"/>
                  <w:hideMark/>
                </w:tcPr>
                <w:p w14:paraId="42852C0D"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19</w:t>
                  </w:r>
                </w:p>
              </w:tc>
            </w:tr>
            <w:tr w:rsidR="00F66B44" w:rsidRPr="00471F31" w14:paraId="48465EAE"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01185686"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Ethnicity</w:t>
                  </w:r>
                </w:p>
              </w:tc>
              <w:tc>
                <w:tcPr>
                  <w:tcW w:w="3940" w:type="dxa"/>
                  <w:tcBorders>
                    <w:top w:val="nil"/>
                    <w:left w:val="nil"/>
                    <w:bottom w:val="single" w:sz="4" w:space="0" w:color="auto"/>
                    <w:right w:val="single" w:sz="4" w:space="0" w:color="auto"/>
                  </w:tcBorders>
                  <w:shd w:val="clear" w:color="000000" w:fill="FFFFFF"/>
                  <w:noWrap/>
                  <w:vAlign w:val="bottom"/>
                  <w:hideMark/>
                </w:tcPr>
                <w:p w14:paraId="1DBC0928"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White British</w:t>
                  </w:r>
                </w:p>
              </w:tc>
              <w:tc>
                <w:tcPr>
                  <w:tcW w:w="1180" w:type="dxa"/>
                  <w:tcBorders>
                    <w:top w:val="nil"/>
                    <w:left w:val="nil"/>
                    <w:bottom w:val="single" w:sz="4" w:space="0" w:color="auto"/>
                    <w:right w:val="single" w:sz="4" w:space="0" w:color="auto"/>
                  </w:tcBorders>
                  <w:shd w:val="clear" w:color="000000" w:fill="FFFFFF"/>
                  <w:noWrap/>
                  <w:vAlign w:val="bottom"/>
                  <w:hideMark/>
                </w:tcPr>
                <w:p w14:paraId="51B7F908"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33</w:t>
                  </w:r>
                </w:p>
              </w:tc>
              <w:tc>
                <w:tcPr>
                  <w:tcW w:w="1180" w:type="dxa"/>
                  <w:tcBorders>
                    <w:top w:val="nil"/>
                    <w:left w:val="nil"/>
                    <w:bottom w:val="single" w:sz="4" w:space="0" w:color="auto"/>
                    <w:right w:val="single" w:sz="4" w:space="0" w:color="auto"/>
                  </w:tcBorders>
                  <w:shd w:val="clear" w:color="000000" w:fill="FFFFFF"/>
                  <w:noWrap/>
                  <w:vAlign w:val="bottom"/>
                  <w:hideMark/>
                </w:tcPr>
                <w:p w14:paraId="19D98169"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30</w:t>
                  </w:r>
                </w:p>
              </w:tc>
            </w:tr>
            <w:tr w:rsidR="00F66B44" w:rsidRPr="00471F31" w14:paraId="020CA4A9"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4EAB0244"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1182C85E"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White (Other)</w:t>
                  </w:r>
                </w:p>
              </w:tc>
              <w:tc>
                <w:tcPr>
                  <w:tcW w:w="1180" w:type="dxa"/>
                  <w:tcBorders>
                    <w:top w:val="nil"/>
                    <w:left w:val="nil"/>
                    <w:bottom w:val="single" w:sz="4" w:space="0" w:color="auto"/>
                    <w:right w:val="single" w:sz="4" w:space="0" w:color="auto"/>
                  </w:tcBorders>
                  <w:shd w:val="clear" w:color="000000" w:fill="FFFFFF"/>
                  <w:noWrap/>
                  <w:vAlign w:val="bottom"/>
                  <w:hideMark/>
                </w:tcPr>
                <w:p w14:paraId="614D7392"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32</w:t>
                  </w:r>
                </w:p>
              </w:tc>
              <w:tc>
                <w:tcPr>
                  <w:tcW w:w="1180" w:type="dxa"/>
                  <w:tcBorders>
                    <w:top w:val="nil"/>
                    <w:left w:val="nil"/>
                    <w:bottom w:val="single" w:sz="4" w:space="0" w:color="auto"/>
                    <w:right w:val="single" w:sz="4" w:space="0" w:color="auto"/>
                  </w:tcBorders>
                  <w:shd w:val="clear" w:color="000000" w:fill="FFFFFF"/>
                  <w:noWrap/>
                  <w:vAlign w:val="bottom"/>
                  <w:hideMark/>
                </w:tcPr>
                <w:p w14:paraId="7357956E" w14:textId="77777777" w:rsidR="00F66B44" w:rsidRPr="00471F31" w:rsidRDefault="00F66B44" w:rsidP="00F66B44">
                  <w:pPr>
                    <w:jc w:val="right"/>
                    <w:rPr>
                      <w:rFonts w:ascii="Calibri" w:hAnsi="Calibri" w:cs="Calibri"/>
                      <w:color w:val="000000"/>
                      <w:sz w:val="22"/>
                      <w:szCs w:val="22"/>
                      <w:lang w:eastAsia="en-GB"/>
                    </w:rPr>
                  </w:pPr>
                  <w:r w:rsidRPr="00471F31">
                    <w:rPr>
                      <w:rFonts w:ascii="Calibri" w:hAnsi="Calibri" w:cs="Calibri"/>
                      <w:color w:val="000000"/>
                      <w:sz w:val="22"/>
                      <w:szCs w:val="22"/>
                      <w:lang w:eastAsia="en-GB"/>
                    </w:rPr>
                    <w:t>36</w:t>
                  </w:r>
                </w:p>
              </w:tc>
            </w:tr>
            <w:tr w:rsidR="00F66B44" w:rsidRPr="00471F31" w14:paraId="1004436A"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3A159913"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699E31CA"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Mixed / multiple ethnic groups</w:t>
                  </w:r>
                </w:p>
              </w:tc>
              <w:tc>
                <w:tcPr>
                  <w:tcW w:w="1180" w:type="dxa"/>
                  <w:tcBorders>
                    <w:top w:val="nil"/>
                    <w:left w:val="nil"/>
                    <w:bottom w:val="single" w:sz="4" w:space="0" w:color="auto"/>
                    <w:right w:val="single" w:sz="4" w:space="0" w:color="auto"/>
                  </w:tcBorders>
                  <w:shd w:val="clear" w:color="000000" w:fill="FFFFFF"/>
                  <w:noWrap/>
                  <w:vAlign w:val="bottom"/>
                  <w:hideMark/>
                </w:tcPr>
                <w:p w14:paraId="74E8F296"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42</w:t>
                  </w:r>
                </w:p>
              </w:tc>
              <w:tc>
                <w:tcPr>
                  <w:tcW w:w="1180" w:type="dxa"/>
                  <w:tcBorders>
                    <w:top w:val="nil"/>
                    <w:left w:val="nil"/>
                    <w:bottom w:val="single" w:sz="4" w:space="0" w:color="auto"/>
                    <w:right w:val="single" w:sz="4" w:space="0" w:color="auto"/>
                  </w:tcBorders>
                  <w:shd w:val="clear" w:color="000000" w:fill="FFFFFF"/>
                  <w:noWrap/>
                  <w:vAlign w:val="bottom"/>
                  <w:hideMark/>
                </w:tcPr>
                <w:p w14:paraId="27AF6D63"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40</w:t>
                  </w:r>
                </w:p>
              </w:tc>
            </w:tr>
            <w:tr w:rsidR="00F66B44" w:rsidRPr="00471F31" w14:paraId="440BD274"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0E9AE1D3"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66D6047C"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Asian / Asian British</w:t>
                  </w:r>
                </w:p>
              </w:tc>
              <w:tc>
                <w:tcPr>
                  <w:tcW w:w="1180" w:type="dxa"/>
                  <w:tcBorders>
                    <w:top w:val="nil"/>
                    <w:left w:val="nil"/>
                    <w:bottom w:val="single" w:sz="4" w:space="0" w:color="auto"/>
                    <w:right w:val="single" w:sz="4" w:space="0" w:color="auto"/>
                  </w:tcBorders>
                  <w:shd w:val="clear" w:color="000000" w:fill="FFFFFF"/>
                  <w:noWrap/>
                  <w:vAlign w:val="bottom"/>
                  <w:hideMark/>
                </w:tcPr>
                <w:p w14:paraId="3B770906"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39</w:t>
                  </w:r>
                </w:p>
              </w:tc>
              <w:tc>
                <w:tcPr>
                  <w:tcW w:w="1180" w:type="dxa"/>
                  <w:tcBorders>
                    <w:top w:val="nil"/>
                    <w:left w:val="nil"/>
                    <w:bottom w:val="single" w:sz="4" w:space="0" w:color="auto"/>
                    <w:right w:val="single" w:sz="4" w:space="0" w:color="auto"/>
                  </w:tcBorders>
                  <w:shd w:val="clear" w:color="000000" w:fill="FFFFFF"/>
                  <w:noWrap/>
                  <w:vAlign w:val="bottom"/>
                  <w:hideMark/>
                </w:tcPr>
                <w:p w14:paraId="60A20E4F"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41</w:t>
                  </w:r>
                </w:p>
              </w:tc>
            </w:tr>
            <w:tr w:rsidR="00F66B44" w:rsidRPr="00471F31" w14:paraId="755FA8E2"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1495793F"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455915D7"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Black / African / Caribbean / Black British</w:t>
                  </w:r>
                </w:p>
              </w:tc>
              <w:tc>
                <w:tcPr>
                  <w:tcW w:w="1180" w:type="dxa"/>
                  <w:tcBorders>
                    <w:top w:val="nil"/>
                    <w:left w:val="nil"/>
                    <w:bottom w:val="single" w:sz="4" w:space="0" w:color="auto"/>
                    <w:right w:val="single" w:sz="4" w:space="0" w:color="auto"/>
                  </w:tcBorders>
                  <w:shd w:val="clear" w:color="000000" w:fill="FFFFFF"/>
                  <w:noWrap/>
                  <w:vAlign w:val="bottom"/>
                  <w:hideMark/>
                </w:tcPr>
                <w:p w14:paraId="05A7BC8A"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38</w:t>
                  </w:r>
                </w:p>
              </w:tc>
              <w:tc>
                <w:tcPr>
                  <w:tcW w:w="1180" w:type="dxa"/>
                  <w:tcBorders>
                    <w:top w:val="nil"/>
                    <w:left w:val="nil"/>
                    <w:bottom w:val="single" w:sz="4" w:space="0" w:color="auto"/>
                    <w:right w:val="single" w:sz="4" w:space="0" w:color="auto"/>
                  </w:tcBorders>
                  <w:shd w:val="clear" w:color="000000" w:fill="FFFFFF"/>
                  <w:noWrap/>
                  <w:vAlign w:val="bottom"/>
                  <w:hideMark/>
                </w:tcPr>
                <w:p w14:paraId="0EF8AF09"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49</w:t>
                  </w:r>
                </w:p>
              </w:tc>
            </w:tr>
            <w:tr w:rsidR="00F66B44" w:rsidRPr="00471F31" w14:paraId="4207694E"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71DEE447"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0EE87381" w14:textId="77777777" w:rsidR="00F66B44" w:rsidRPr="00471F31" w:rsidRDefault="00F66B44" w:rsidP="00F66B44">
                  <w:pPr>
                    <w:rPr>
                      <w:rFonts w:ascii="Calibri" w:hAnsi="Calibri" w:cs="Calibri"/>
                      <w:sz w:val="22"/>
                      <w:szCs w:val="22"/>
                      <w:lang w:eastAsia="en-GB"/>
                    </w:rPr>
                  </w:pPr>
                  <w:proofErr w:type="gramStart"/>
                  <w:r w:rsidRPr="00471F31">
                    <w:rPr>
                      <w:rFonts w:ascii="Calibri" w:hAnsi="Calibri" w:cs="Calibri"/>
                      <w:sz w:val="22"/>
                      <w:szCs w:val="22"/>
                      <w:lang w:eastAsia="en-GB"/>
                    </w:rPr>
                    <w:t>Other</w:t>
                  </w:r>
                  <w:proofErr w:type="gramEnd"/>
                  <w:r w:rsidRPr="00471F31">
                    <w:rPr>
                      <w:rFonts w:ascii="Calibri" w:hAnsi="Calibri" w:cs="Calibri"/>
                      <w:sz w:val="22"/>
                      <w:szCs w:val="22"/>
                      <w:lang w:eastAsia="en-GB"/>
                    </w:rPr>
                    <w:t xml:space="preserve"> ethnic group</w:t>
                  </w:r>
                </w:p>
              </w:tc>
              <w:tc>
                <w:tcPr>
                  <w:tcW w:w="1180" w:type="dxa"/>
                  <w:tcBorders>
                    <w:top w:val="nil"/>
                    <w:left w:val="nil"/>
                    <w:bottom w:val="single" w:sz="4" w:space="0" w:color="auto"/>
                    <w:right w:val="single" w:sz="4" w:space="0" w:color="auto"/>
                  </w:tcBorders>
                  <w:shd w:val="clear" w:color="000000" w:fill="FFFFFF"/>
                  <w:noWrap/>
                  <w:vAlign w:val="bottom"/>
                  <w:hideMark/>
                </w:tcPr>
                <w:p w14:paraId="06A3CB26"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38</w:t>
                  </w:r>
                </w:p>
              </w:tc>
              <w:tc>
                <w:tcPr>
                  <w:tcW w:w="1180" w:type="dxa"/>
                  <w:tcBorders>
                    <w:top w:val="nil"/>
                    <w:left w:val="nil"/>
                    <w:bottom w:val="single" w:sz="4" w:space="0" w:color="auto"/>
                    <w:right w:val="single" w:sz="4" w:space="0" w:color="auto"/>
                  </w:tcBorders>
                  <w:shd w:val="clear" w:color="000000" w:fill="FFFFFF"/>
                  <w:noWrap/>
                  <w:vAlign w:val="bottom"/>
                  <w:hideMark/>
                </w:tcPr>
                <w:p w14:paraId="54B51585"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39</w:t>
                  </w:r>
                </w:p>
              </w:tc>
            </w:tr>
            <w:tr w:rsidR="00F66B44" w:rsidRPr="00471F31" w14:paraId="216E34ED"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315FB4F2"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Disability</w:t>
                  </w:r>
                </w:p>
              </w:tc>
              <w:tc>
                <w:tcPr>
                  <w:tcW w:w="3940" w:type="dxa"/>
                  <w:tcBorders>
                    <w:top w:val="nil"/>
                    <w:left w:val="nil"/>
                    <w:bottom w:val="single" w:sz="4" w:space="0" w:color="auto"/>
                    <w:right w:val="single" w:sz="4" w:space="0" w:color="auto"/>
                  </w:tcBorders>
                  <w:shd w:val="clear" w:color="000000" w:fill="FFFFFF"/>
                  <w:noWrap/>
                  <w:vAlign w:val="bottom"/>
                  <w:hideMark/>
                </w:tcPr>
                <w:p w14:paraId="3FAD7910"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Disabled</w:t>
                  </w:r>
                </w:p>
              </w:tc>
              <w:tc>
                <w:tcPr>
                  <w:tcW w:w="1180" w:type="dxa"/>
                  <w:tcBorders>
                    <w:top w:val="nil"/>
                    <w:left w:val="nil"/>
                    <w:bottom w:val="single" w:sz="4" w:space="0" w:color="auto"/>
                    <w:right w:val="single" w:sz="4" w:space="0" w:color="auto"/>
                  </w:tcBorders>
                  <w:shd w:val="clear" w:color="000000" w:fill="FFFFFF"/>
                  <w:noWrap/>
                  <w:vAlign w:val="bottom"/>
                  <w:hideMark/>
                </w:tcPr>
                <w:p w14:paraId="7D0A29C9"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46</w:t>
                  </w:r>
                </w:p>
              </w:tc>
              <w:tc>
                <w:tcPr>
                  <w:tcW w:w="1180" w:type="dxa"/>
                  <w:tcBorders>
                    <w:top w:val="nil"/>
                    <w:left w:val="nil"/>
                    <w:bottom w:val="single" w:sz="4" w:space="0" w:color="auto"/>
                    <w:right w:val="single" w:sz="4" w:space="0" w:color="auto"/>
                  </w:tcBorders>
                  <w:shd w:val="clear" w:color="000000" w:fill="FFFFFF"/>
                  <w:noWrap/>
                  <w:vAlign w:val="bottom"/>
                  <w:hideMark/>
                </w:tcPr>
                <w:p w14:paraId="09F1EF18"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50</w:t>
                  </w:r>
                </w:p>
              </w:tc>
            </w:tr>
            <w:tr w:rsidR="00F66B44" w:rsidRPr="00471F31" w14:paraId="190B592A" w14:textId="77777777" w:rsidTr="00F66B44">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1BF12D55" w14:textId="77777777" w:rsidR="00F66B44" w:rsidRPr="00471F31" w:rsidRDefault="00F66B44" w:rsidP="00F66B44">
                  <w:pPr>
                    <w:rPr>
                      <w:rFonts w:ascii="Calibri" w:hAnsi="Calibri" w:cs="Calibri"/>
                      <w:color w:val="000000"/>
                      <w:sz w:val="22"/>
                      <w:szCs w:val="22"/>
                      <w:lang w:eastAsia="en-GB"/>
                    </w:rPr>
                  </w:pPr>
                  <w:r w:rsidRPr="00471F31">
                    <w:rPr>
                      <w:rFonts w:ascii="Calibri" w:hAnsi="Calibri" w:cs="Calibri"/>
                      <w:color w:val="000000"/>
                      <w:sz w:val="22"/>
                      <w:szCs w:val="22"/>
                      <w:lang w:eastAsia="en-GB"/>
                    </w:rPr>
                    <w:t> </w:t>
                  </w:r>
                </w:p>
              </w:tc>
              <w:tc>
                <w:tcPr>
                  <w:tcW w:w="3940" w:type="dxa"/>
                  <w:tcBorders>
                    <w:top w:val="nil"/>
                    <w:left w:val="nil"/>
                    <w:bottom w:val="single" w:sz="4" w:space="0" w:color="auto"/>
                    <w:right w:val="single" w:sz="4" w:space="0" w:color="auto"/>
                  </w:tcBorders>
                  <w:shd w:val="clear" w:color="000000" w:fill="FFFFFF"/>
                  <w:noWrap/>
                  <w:vAlign w:val="bottom"/>
                  <w:hideMark/>
                </w:tcPr>
                <w:p w14:paraId="0E64E96D" w14:textId="77777777" w:rsidR="00F66B44" w:rsidRPr="00471F31" w:rsidRDefault="00F66B44" w:rsidP="00F66B44">
                  <w:pPr>
                    <w:rPr>
                      <w:rFonts w:ascii="Calibri" w:hAnsi="Calibri" w:cs="Calibri"/>
                      <w:sz w:val="22"/>
                      <w:szCs w:val="22"/>
                      <w:lang w:eastAsia="en-GB"/>
                    </w:rPr>
                  </w:pPr>
                  <w:r w:rsidRPr="00471F31">
                    <w:rPr>
                      <w:rFonts w:ascii="Calibri" w:hAnsi="Calibri" w:cs="Calibri"/>
                      <w:sz w:val="22"/>
                      <w:szCs w:val="22"/>
                      <w:lang w:eastAsia="en-GB"/>
                    </w:rPr>
                    <w:t>Not disabled</w:t>
                  </w:r>
                </w:p>
              </w:tc>
              <w:tc>
                <w:tcPr>
                  <w:tcW w:w="1180" w:type="dxa"/>
                  <w:tcBorders>
                    <w:top w:val="nil"/>
                    <w:left w:val="nil"/>
                    <w:bottom w:val="single" w:sz="4" w:space="0" w:color="auto"/>
                    <w:right w:val="single" w:sz="4" w:space="0" w:color="auto"/>
                  </w:tcBorders>
                  <w:shd w:val="clear" w:color="000000" w:fill="FFFFFF"/>
                  <w:noWrap/>
                  <w:vAlign w:val="bottom"/>
                  <w:hideMark/>
                </w:tcPr>
                <w:p w14:paraId="505BC261"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32</w:t>
                  </w:r>
                </w:p>
              </w:tc>
              <w:tc>
                <w:tcPr>
                  <w:tcW w:w="1180" w:type="dxa"/>
                  <w:tcBorders>
                    <w:top w:val="nil"/>
                    <w:left w:val="nil"/>
                    <w:bottom w:val="single" w:sz="4" w:space="0" w:color="auto"/>
                    <w:right w:val="single" w:sz="4" w:space="0" w:color="auto"/>
                  </w:tcBorders>
                  <w:shd w:val="clear" w:color="000000" w:fill="FFFFFF"/>
                  <w:noWrap/>
                  <w:vAlign w:val="bottom"/>
                  <w:hideMark/>
                </w:tcPr>
                <w:p w14:paraId="6B3CDD86" w14:textId="77777777" w:rsidR="00F66B44" w:rsidRPr="00471F31" w:rsidRDefault="00F66B44" w:rsidP="00F66B44">
                  <w:pPr>
                    <w:jc w:val="right"/>
                    <w:rPr>
                      <w:rFonts w:ascii="Calibri" w:hAnsi="Calibri" w:cs="Calibri"/>
                      <w:sz w:val="22"/>
                      <w:szCs w:val="22"/>
                      <w:lang w:eastAsia="en-GB"/>
                    </w:rPr>
                  </w:pPr>
                  <w:r w:rsidRPr="00471F31">
                    <w:rPr>
                      <w:rFonts w:ascii="Calibri" w:hAnsi="Calibri" w:cs="Calibri"/>
                      <w:sz w:val="22"/>
                      <w:szCs w:val="22"/>
                      <w:lang w:eastAsia="en-GB"/>
                    </w:rPr>
                    <w:t>33</w:t>
                  </w:r>
                </w:p>
              </w:tc>
            </w:tr>
          </w:tbl>
          <w:p w14:paraId="57EC0903" w14:textId="77777777" w:rsidR="00F66B44" w:rsidRDefault="00F66B44" w:rsidP="004E385F"/>
          <w:p w14:paraId="52350C98" w14:textId="1983738B" w:rsidR="00471F31" w:rsidRPr="000471F1" w:rsidRDefault="00471F31" w:rsidP="004E385F"/>
        </w:tc>
      </w:tr>
    </w:tbl>
    <w:p w14:paraId="2856F94E" w14:textId="77777777" w:rsidR="009E070F" w:rsidRDefault="009E070F" w:rsidP="009E070F">
      <w:pPr>
        <w:rPr>
          <w:b/>
          <w:bCs/>
        </w:rPr>
      </w:pPr>
    </w:p>
    <w:p w14:paraId="441C151D" w14:textId="1F71FB84" w:rsidR="009E070F" w:rsidRPr="007F62FB" w:rsidRDefault="009E070F" w:rsidP="009E070F">
      <w:pPr>
        <w:rPr>
          <w:b/>
          <w:bCs/>
        </w:rPr>
      </w:pPr>
      <w:r w:rsidRPr="007F62FB">
        <w:rPr>
          <w:b/>
          <w:bCs/>
        </w:rPr>
        <w:t xml:space="preserve">Commentary – </w:t>
      </w:r>
      <w:r>
        <w:rPr>
          <w:b/>
          <w:bCs/>
        </w:rPr>
        <w:t>unfair treatment</w:t>
      </w:r>
    </w:p>
    <w:p w14:paraId="0462E3CA" w14:textId="43BD780B" w:rsidR="009E070F" w:rsidRDefault="009E070F" w:rsidP="009E070F">
      <w:pPr>
        <w:pStyle w:val="ListParagraph"/>
        <w:numPr>
          <w:ilvl w:val="0"/>
          <w:numId w:val="10"/>
        </w:numPr>
      </w:pPr>
      <w:r>
        <w:t xml:space="preserve">In </w:t>
      </w:r>
      <w:r w:rsidRPr="009E070F">
        <w:t>2021-22, 3</w:t>
      </w:r>
      <w:r>
        <w:t xml:space="preserve">6% </w:t>
      </w:r>
      <w:r w:rsidRPr="009E070F">
        <w:t>of Londoners had been treated unfairly in the past 12 months because of one or several protected characteristics, or because of their social class</w:t>
      </w:r>
      <w:r>
        <w:t xml:space="preserve">, excluding any unfair treatment from </w:t>
      </w:r>
      <w:r w:rsidRPr="009E070F">
        <w:t>friends and family</w:t>
      </w:r>
      <w:r>
        <w:t>. This</w:t>
      </w:r>
      <w:r w:rsidRPr="009E070F">
        <w:t xml:space="preserve"> is not significantly different from 2018-19 (35</w:t>
      </w:r>
      <w:r>
        <w:t>%</w:t>
      </w:r>
      <w:r w:rsidRPr="009E070F">
        <w:t>).</w:t>
      </w:r>
    </w:p>
    <w:p w14:paraId="4CABAF59" w14:textId="7FABCA70" w:rsidR="009E070F" w:rsidRDefault="009E070F" w:rsidP="009E070F">
      <w:pPr>
        <w:pStyle w:val="ListParagraph"/>
        <w:numPr>
          <w:ilvl w:val="0"/>
          <w:numId w:val="10"/>
        </w:numPr>
      </w:pPr>
      <w:r>
        <w:t xml:space="preserve">In </w:t>
      </w:r>
      <w:r w:rsidRPr="009E070F">
        <w:t>2021-22,</w:t>
      </w:r>
      <w:r>
        <w:t xml:space="preserve"> women were more likely to have been treated unfairly </w:t>
      </w:r>
      <w:r w:rsidR="00406695">
        <w:t xml:space="preserve">in the past 12 months </w:t>
      </w:r>
      <w:r>
        <w:t>than men (41% and 29% respectively).</w:t>
      </w:r>
    </w:p>
    <w:p w14:paraId="05FA645E" w14:textId="2247931B" w:rsidR="009E070F" w:rsidRDefault="009E070F" w:rsidP="009E070F">
      <w:pPr>
        <w:pStyle w:val="ListParagraph"/>
        <w:numPr>
          <w:ilvl w:val="0"/>
          <w:numId w:val="10"/>
        </w:numPr>
      </w:pPr>
      <w:r>
        <w:t xml:space="preserve">In </w:t>
      </w:r>
      <w:r w:rsidRPr="009E070F">
        <w:t>2021-22,</w:t>
      </w:r>
      <w:r>
        <w:t xml:space="preserve"> younger Londoners aged 16-24 were more likely to have been treated unfairly than Londoners aged 65 and over (48% and 19% respectively).</w:t>
      </w:r>
    </w:p>
    <w:p w14:paraId="3834B1AB" w14:textId="66EE8267" w:rsidR="009E070F" w:rsidRDefault="009E070F" w:rsidP="009E070F">
      <w:pPr>
        <w:pStyle w:val="ListParagraph"/>
        <w:numPr>
          <w:ilvl w:val="0"/>
          <w:numId w:val="10"/>
        </w:numPr>
      </w:pPr>
      <w:r>
        <w:lastRenderedPageBreak/>
        <w:t xml:space="preserve">In </w:t>
      </w:r>
      <w:r w:rsidRPr="009E070F">
        <w:t>2021-22,</w:t>
      </w:r>
      <w:r>
        <w:t xml:space="preserve"> all ethnic groups other than White British were more likely to have been treated unfairly in the past 12 months than White British Londoners. Black Londoners are the ethnic group most likely to have experience</w:t>
      </w:r>
      <w:r w:rsidR="00406695">
        <w:t>d</w:t>
      </w:r>
      <w:r>
        <w:t xml:space="preserve"> unfair treatment in the past 12 months (49%) and they are the only ethnic group to have seen an increase </w:t>
      </w:r>
      <w:r w:rsidR="00406695">
        <w:t xml:space="preserve">in unfair treatment </w:t>
      </w:r>
      <w:r>
        <w:t>since 2018-19 (from 38%).</w:t>
      </w:r>
    </w:p>
    <w:p w14:paraId="607E7E81" w14:textId="159CFC8F" w:rsidR="009E070F" w:rsidRDefault="00406695" w:rsidP="000A523F">
      <w:pPr>
        <w:pStyle w:val="ListParagraph"/>
        <w:numPr>
          <w:ilvl w:val="0"/>
          <w:numId w:val="10"/>
        </w:numPr>
      </w:pPr>
      <w:r>
        <w:t xml:space="preserve">In </w:t>
      </w:r>
      <w:r w:rsidRPr="009E070F">
        <w:t>2021-22,</w:t>
      </w:r>
      <w:r>
        <w:t xml:space="preserve"> disabled Londoners were more likely to have been treated unfairly in the past 12 months than non-disabled Londoners (50% and 33% respectively).</w:t>
      </w:r>
    </w:p>
    <w:p w14:paraId="249833E9" w14:textId="77777777" w:rsidR="00ED4D24" w:rsidRDefault="00ED4D24" w:rsidP="00DB054F">
      <w:pPr>
        <w:jc w:val="center"/>
        <w:rPr>
          <w:b/>
          <w:bCs/>
          <w:sz w:val="32"/>
          <w:szCs w:val="32"/>
        </w:rPr>
      </w:pPr>
    </w:p>
    <w:p w14:paraId="7C671451" w14:textId="77777777" w:rsidR="00471F31" w:rsidRDefault="00471F31">
      <w:pPr>
        <w:rPr>
          <w:b/>
          <w:bCs/>
          <w:sz w:val="32"/>
          <w:szCs w:val="32"/>
        </w:rPr>
      </w:pPr>
      <w:r>
        <w:rPr>
          <w:b/>
          <w:bCs/>
          <w:sz w:val="32"/>
          <w:szCs w:val="32"/>
        </w:rPr>
        <w:br w:type="page"/>
      </w:r>
    </w:p>
    <w:p w14:paraId="58F7153E" w14:textId="26D960E6" w:rsidR="00714E4E" w:rsidRPr="00DB054F" w:rsidRDefault="00714E4E" w:rsidP="00DB054F">
      <w:pPr>
        <w:jc w:val="center"/>
        <w:rPr>
          <w:b/>
          <w:bCs/>
          <w:sz w:val="32"/>
          <w:szCs w:val="32"/>
        </w:rPr>
      </w:pPr>
      <w:r w:rsidRPr="00DB054F">
        <w:rPr>
          <w:b/>
          <w:bCs/>
          <w:sz w:val="32"/>
          <w:szCs w:val="32"/>
        </w:rPr>
        <w:lastRenderedPageBreak/>
        <w:t>Civil Society Strength</w:t>
      </w:r>
    </w:p>
    <w:p w14:paraId="1EFB2493" w14:textId="23B6F04C" w:rsidR="00714E4E" w:rsidRDefault="00714E4E"/>
    <w:tbl>
      <w:tblPr>
        <w:tblStyle w:val="TableGrid"/>
        <w:tblW w:w="0" w:type="auto"/>
        <w:tblLayout w:type="fixed"/>
        <w:tblLook w:val="04A0" w:firstRow="1" w:lastRow="0" w:firstColumn="1" w:lastColumn="0" w:noHBand="0" w:noVBand="1"/>
      </w:tblPr>
      <w:tblGrid>
        <w:gridCol w:w="1129"/>
        <w:gridCol w:w="4537"/>
        <w:gridCol w:w="3350"/>
      </w:tblGrid>
      <w:tr w:rsidR="000E5D6A" w:rsidRPr="00714E4E" w14:paraId="462A5355" w14:textId="77777777" w:rsidTr="00E84582">
        <w:tc>
          <w:tcPr>
            <w:tcW w:w="1129" w:type="dxa"/>
            <w:shd w:val="clear" w:color="auto" w:fill="FFF200"/>
          </w:tcPr>
          <w:p w14:paraId="749F4BEE" w14:textId="148B34B0" w:rsidR="000E5D6A" w:rsidRPr="000E5D6A" w:rsidRDefault="000E5D6A" w:rsidP="000E5D6A">
            <w:pPr>
              <w:rPr>
                <w:b/>
                <w:bCs/>
              </w:rPr>
            </w:pPr>
            <w:r w:rsidRPr="000E5D6A">
              <w:rPr>
                <w:b/>
                <w:bCs/>
              </w:rPr>
              <w:t>Measure number</w:t>
            </w:r>
          </w:p>
        </w:tc>
        <w:tc>
          <w:tcPr>
            <w:tcW w:w="4537" w:type="dxa"/>
            <w:shd w:val="clear" w:color="auto" w:fill="FFF200"/>
          </w:tcPr>
          <w:p w14:paraId="1E30E518" w14:textId="79295FA8" w:rsidR="000E5D6A" w:rsidRPr="000E5D6A" w:rsidRDefault="000E5D6A" w:rsidP="000E5D6A">
            <w:pPr>
              <w:rPr>
                <w:b/>
                <w:bCs/>
              </w:rPr>
            </w:pPr>
            <w:r w:rsidRPr="000E5D6A">
              <w:rPr>
                <w:b/>
                <w:bCs/>
              </w:rPr>
              <w:t>Measure description</w:t>
            </w:r>
          </w:p>
        </w:tc>
        <w:tc>
          <w:tcPr>
            <w:tcW w:w="3350" w:type="dxa"/>
            <w:shd w:val="clear" w:color="auto" w:fill="FFF200"/>
          </w:tcPr>
          <w:p w14:paraId="07D309C4" w14:textId="30D07914" w:rsidR="000E5D6A" w:rsidRPr="000E5D6A" w:rsidRDefault="000E5D6A" w:rsidP="000E5D6A">
            <w:pPr>
              <w:rPr>
                <w:b/>
                <w:bCs/>
              </w:rPr>
            </w:pPr>
            <w:r w:rsidRPr="000E5D6A">
              <w:rPr>
                <w:b/>
                <w:bCs/>
              </w:rPr>
              <w:t>Source</w:t>
            </w:r>
          </w:p>
        </w:tc>
      </w:tr>
      <w:tr w:rsidR="006B348A" w:rsidRPr="003E202F" w14:paraId="6BEF2A4F" w14:textId="77777777" w:rsidTr="00E84582">
        <w:tc>
          <w:tcPr>
            <w:tcW w:w="1129" w:type="dxa"/>
            <w:vMerge w:val="restart"/>
            <w:vAlign w:val="center"/>
          </w:tcPr>
          <w:p w14:paraId="25A3ECDC" w14:textId="4AEB8400" w:rsidR="006B348A" w:rsidRPr="003E202F" w:rsidRDefault="006B348A" w:rsidP="00C4220E">
            <w:r>
              <w:t>7</w:t>
            </w:r>
          </w:p>
        </w:tc>
        <w:tc>
          <w:tcPr>
            <w:tcW w:w="4537" w:type="dxa"/>
          </w:tcPr>
          <w:p w14:paraId="715694CF" w14:textId="4C01227C" w:rsidR="00255320" w:rsidRDefault="00255320" w:rsidP="001C3C8C">
            <w:pPr>
              <w:pStyle w:val="ListParagraph"/>
              <w:numPr>
                <w:ilvl w:val="0"/>
                <w:numId w:val="6"/>
              </w:numPr>
              <w:rPr>
                <w:b/>
                <w:bCs/>
              </w:rPr>
            </w:pPr>
            <w:r w:rsidRPr="00255320">
              <w:rPr>
                <w:b/>
                <w:bCs/>
              </w:rPr>
              <w:t>Value of grants awarded</w:t>
            </w:r>
            <w:r>
              <w:rPr>
                <w:b/>
                <w:bCs/>
              </w:rPr>
              <w:t xml:space="preserve"> to charitable organisations:</w:t>
            </w:r>
          </w:p>
          <w:p w14:paraId="6A0A8911" w14:textId="0C6EF618" w:rsidR="00255320" w:rsidRPr="00255320" w:rsidRDefault="00255320" w:rsidP="00255320">
            <w:pPr>
              <w:pStyle w:val="ListParagraph"/>
              <w:ind w:left="360"/>
            </w:pPr>
            <w:r>
              <w:t xml:space="preserve">Value of grants awarded </w:t>
            </w:r>
            <w:r w:rsidRPr="00255320">
              <w:t>by funders in central government, lottery distributors, and grant-making organisations (in £)</w:t>
            </w:r>
            <w:r>
              <w:t xml:space="preserve"> to charitable organisations, where the grant’s beneficiaries are in London</w:t>
            </w:r>
            <w:r w:rsidRPr="00255320">
              <w:t>.</w:t>
            </w:r>
          </w:p>
          <w:p w14:paraId="6B52CB36" w14:textId="5865C2F0" w:rsidR="00255320" w:rsidRPr="00F45CA7" w:rsidRDefault="00255320" w:rsidP="00C4220E"/>
        </w:tc>
        <w:tc>
          <w:tcPr>
            <w:tcW w:w="3350" w:type="dxa"/>
          </w:tcPr>
          <w:p w14:paraId="624AD58B" w14:textId="6FDB87AE" w:rsidR="006B348A" w:rsidRPr="000471F1" w:rsidRDefault="00B40796" w:rsidP="00C4220E">
            <w:r>
              <w:t xml:space="preserve">GLA analysis of </w:t>
            </w:r>
            <w:hyperlink r:id="rId23" w:history="1">
              <w:r w:rsidR="006B348A" w:rsidRPr="006B348A">
                <w:rPr>
                  <w:rStyle w:val="Hyperlink"/>
                </w:rPr>
                <w:t>360Giving</w:t>
              </w:r>
            </w:hyperlink>
            <w:r>
              <w:rPr>
                <w:rStyle w:val="Hyperlink"/>
              </w:rPr>
              <w:t xml:space="preserve"> data</w:t>
            </w:r>
          </w:p>
        </w:tc>
      </w:tr>
      <w:tr w:rsidR="006B348A" w:rsidRPr="00714E4E" w14:paraId="4A0BC097" w14:textId="77777777" w:rsidTr="00E84582">
        <w:tc>
          <w:tcPr>
            <w:tcW w:w="1129" w:type="dxa"/>
            <w:vMerge/>
            <w:vAlign w:val="center"/>
          </w:tcPr>
          <w:p w14:paraId="60CBC762" w14:textId="0EB8DAF0" w:rsidR="006B348A" w:rsidRPr="00714E4E" w:rsidRDefault="006B348A" w:rsidP="00714E4E"/>
        </w:tc>
        <w:tc>
          <w:tcPr>
            <w:tcW w:w="7887" w:type="dxa"/>
            <w:gridSpan w:val="2"/>
          </w:tcPr>
          <w:p w14:paraId="1E27432D" w14:textId="77777777" w:rsidR="006B348A" w:rsidRDefault="006B348A" w:rsidP="00714E4E"/>
          <w:tbl>
            <w:tblPr>
              <w:tblpPr w:leftFromText="180" w:rightFromText="180" w:vertAnchor="text" w:horzAnchor="margin" w:tblpY="-102"/>
              <w:tblOverlap w:val="never"/>
              <w:tblW w:w="7334" w:type="dxa"/>
              <w:tblLayout w:type="fixed"/>
              <w:tblLook w:val="04A0" w:firstRow="1" w:lastRow="0" w:firstColumn="1" w:lastColumn="0" w:noHBand="0" w:noVBand="1"/>
            </w:tblPr>
            <w:tblGrid>
              <w:gridCol w:w="3256"/>
              <w:gridCol w:w="1359"/>
              <w:gridCol w:w="1359"/>
              <w:gridCol w:w="1360"/>
            </w:tblGrid>
            <w:tr w:rsidR="00E84582" w:rsidRPr="00471F31" w14:paraId="65B55F47" w14:textId="77777777" w:rsidTr="00E84582">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6873" w14:textId="074DF759" w:rsidR="00E84582" w:rsidRPr="00E84582" w:rsidRDefault="00E84582" w:rsidP="00E84582">
                  <w:pPr>
                    <w:jc w:val="center"/>
                    <w:rPr>
                      <w:rFonts w:cs="Calibri"/>
                      <w:color w:val="000000"/>
                      <w:lang w:eastAsia="en-GB"/>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FF3DD77" w14:textId="5516D42B" w:rsidR="00E84582" w:rsidRPr="00E84582" w:rsidRDefault="00E84582" w:rsidP="00E84582">
                  <w:pPr>
                    <w:jc w:val="center"/>
                    <w:rPr>
                      <w:rFonts w:cs="Calibri"/>
                      <w:b/>
                      <w:bCs/>
                      <w:color w:val="000000"/>
                      <w:lang w:eastAsia="en-GB"/>
                    </w:rPr>
                  </w:pPr>
                  <w:r w:rsidRPr="00E84582">
                    <w:rPr>
                      <w:rFonts w:cs="Calibri"/>
                      <w:b/>
                      <w:bCs/>
                      <w:color w:val="000000"/>
                      <w:lang w:eastAsia="en-GB"/>
                    </w:rPr>
                    <w:t>2019</w:t>
                  </w:r>
                </w:p>
              </w:tc>
              <w:tc>
                <w:tcPr>
                  <w:tcW w:w="1359" w:type="dxa"/>
                  <w:tcBorders>
                    <w:top w:val="single" w:sz="4" w:space="0" w:color="auto"/>
                    <w:left w:val="nil"/>
                    <w:bottom w:val="single" w:sz="4" w:space="0" w:color="auto"/>
                    <w:right w:val="single" w:sz="4" w:space="0" w:color="auto"/>
                  </w:tcBorders>
                  <w:shd w:val="clear" w:color="000000" w:fill="FFFFFF"/>
                  <w:noWrap/>
                  <w:vAlign w:val="center"/>
                </w:tcPr>
                <w:p w14:paraId="49840854" w14:textId="5DCD96E5" w:rsidR="00E84582" w:rsidRPr="00E84582" w:rsidRDefault="00E84582" w:rsidP="00E84582">
                  <w:pPr>
                    <w:jc w:val="center"/>
                    <w:rPr>
                      <w:rFonts w:cs="Calibri"/>
                      <w:b/>
                      <w:bCs/>
                      <w:lang w:eastAsia="en-GB"/>
                    </w:rPr>
                  </w:pPr>
                  <w:r w:rsidRPr="00E84582">
                    <w:rPr>
                      <w:rFonts w:cs="Calibri"/>
                      <w:b/>
                      <w:bCs/>
                      <w:lang w:eastAsia="en-GB"/>
                    </w:rPr>
                    <w:t>2020</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69406025" w14:textId="76991E9D" w:rsidR="00E84582" w:rsidRPr="00E84582" w:rsidRDefault="00E84582" w:rsidP="00E84582">
                  <w:pPr>
                    <w:jc w:val="center"/>
                    <w:rPr>
                      <w:rFonts w:cs="Calibri"/>
                      <w:b/>
                      <w:bCs/>
                      <w:color w:val="000000"/>
                      <w:lang w:eastAsia="en-GB"/>
                    </w:rPr>
                  </w:pPr>
                  <w:r w:rsidRPr="00E84582">
                    <w:rPr>
                      <w:rFonts w:cs="Calibri"/>
                      <w:b/>
                      <w:bCs/>
                      <w:color w:val="000000"/>
                      <w:lang w:eastAsia="en-GB"/>
                    </w:rPr>
                    <w:t>2021</w:t>
                  </w:r>
                </w:p>
              </w:tc>
            </w:tr>
            <w:tr w:rsidR="00E84582" w:rsidRPr="00471F31" w14:paraId="269AA933" w14:textId="77777777" w:rsidTr="00E84582">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7A151FF3" w14:textId="6A7F2BA5" w:rsidR="00E84582" w:rsidRPr="00E84582" w:rsidRDefault="00E84582" w:rsidP="00E84582">
                  <w:pPr>
                    <w:jc w:val="center"/>
                    <w:rPr>
                      <w:rFonts w:cs="Calibri"/>
                      <w:lang w:eastAsia="en-GB"/>
                    </w:rPr>
                  </w:pPr>
                  <w:r w:rsidRPr="00E84582">
                    <w:rPr>
                      <w:rFonts w:cs="Calibri"/>
                      <w:lang w:eastAsia="en-GB"/>
                    </w:rPr>
                    <w:t>By Central government funders</w:t>
                  </w:r>
                </w:p>
              </w:tc>
              <w:tc>
                <w:tcPr>
                  <w:tcW w:w="1359" w:type="dxa"/>
                  <w:tcBorders>
                    <w:top w:val="nil"/>
                    <w:left w:val="nil"/>
                    <w:bottom w:val="single" w:sz="4" w:space="0" w:color="auto"/>
                    <w:right w:val="single" w:sz="4" w:space="0" w:color="auto"/>
                  </w:tcBorders>
                  <w:shd w:val="clear" w:color="000000" w:fill="FFFFFF"/>
                  <w:noWrap/>
                  <w:vAlign w:val="bottom"/>
                </w:tcPr>
                <w:p w14:paraId="1777A278" w14:textId="5EE9412C" w:rsidR="00E84582" w:rsidRPr="00E84582" w:rsidRDefault="00E84582" w:rsidP="00E84582">
                  <w:pPr>
                    <w:jc w:val="center"/>
                    <w:rPr>
                      <w:rFonts w:cs="Calibri"/>
                      <w:lang w:eastAsia="en-GB"/>
                    </w:rPr>
                  </w:pPr>
                  <w:r w:rsidRPr="00E84582">
                    <w:rPr>
                      <w:rFonts w:cs="Calibri"/>
                      <w:lang w:eastAsia="en-GB"/>
                    </w:rPr>
                    <w:t>£7.2m</w:t>
                  </w:r>
                </w:p>
              </w:tc>
              <w:tc>
                <w:tcPr>
                  <w:tcW w:w="1359" w:type="dxa"/>
                  <w:tcBorders>
                    <w:top w:val="nil"/>
                    <w:left w:val="nil"/>
                    <w:bottom w:val="single" w:sz="4" w:space="0" w:color="auto"/>
                    <w:right w:val="single" w:sz="4" w:space="0" w:color="auto"/>
                  </w:tcBorders>
                  <w:shd w:val="clear" w:color="000000" w:fill="FFFFFF"/>
                  <w:noWrap/>
                  <w:vAlign w:val="bottom"/>
                </w:tcPr>
                <w:p w14:paraId="63A08C5D" w14:textId="10D208A4" w:rsidR="00E84582" w:rsidRPr="00E84582" w:rsidRDefault="00E84582" w:rsidP="00E84582">
                  <w:pPr>
                    <w:jc w:val="center"/>
                    <w:rPr>
                      <w:rFonts w:cs="Calibri"/>
                      <w:lang w:eastAsia="en-GB"/>
                    </w:rPr>
                  </w:pPr>
                  <w:r w:rsidRPr="00E84582">
                    <w:rPr>
                      <w:rFonts w:cs="Calibri"/>
                      <w:lang w:eastAsia="en-GB"/>
                    </w:rPr>
                    <w:t>£46.4m</w:t>
                  </w:r>
                </w:p>
              </w:tc>
              <w:tc>
                <w:tcPr>
                  <w:tcW w:w="1360" w:type="dxa"/>
                  <w:tcBorders>
                    <w:top w:val="nil"/>
                    <w:left w:val="nil"/>
                    <w:bottom w:val="single" w:sz="4" w:space="0" w:color="auto"/>
                    <w:right w:val="single" w:sz="4" w:space="0" w:color="auto"/>
                  </w:tcBorders>
                  <w:shd w:val="clear" w:color="000000" w:fill="FFFFFF"/>
                  <w:noWrap/>
                  <w:vAlign w:val="bottom"/>
                </w:tcPr>
                <w:p w14:paraId="2135C386" w14:textId="339C1E95" w:rsidR="00E84582" w:rsidRPr="00E84582" w:rsidRDefault="00E84582" w:rsidP="00E84582">
                  <w:pPr>
                    <w:jc w:val="center"/>
                    <w:rPr>
                      <w:rFonts w:cs="Calibri"/>
                      <w:lang w:eastAsia="en-GB"/>
                    </w:rPr>
                  </w:pPr>
                  <w:r w:rsidRPr="00E84582">
                    <w:rPr>
                      <w:rFonts w:cs="Calibri"/>
                      <w:lang w:eastAsia="en-GB"/>
                    </w:rPr>
                    <w:t>£20.2m</w:t>
                  </w:r>
                </w:p>
              </w:tc>
            </w:tr>
            <w:tr w:rsidR="00E84582" w:rsidRPr="00471F31" w14:paraId="6219B27F" w14:textId="77777777" w:rsidTr="00E84582">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1659C1E0" w14:textId="5850AAF4" w:rsidR="00E84582" w:rsidRPr="00E84582" w:rsidRDefault="00E84582" w:rsidP="00E84582">
                  <w:pPr>
                    <w:jc w:val="center"/>
                    <w:rPr>
                      <w:rFonts w:cs="Calibri"/>
                      <w:lang w:eastAsia="en-GB"/>
                    </w:rPr>
                  </w:pPr>
                  <w:r w:rsidRPr="00E84582">
                    <w:rPr>
                      <w:rFonts w:cs="Calibri"/>
                      <w:lang w:eastAsia="en-GB"/>
                    </w:rPr>
                    <w:t xml:space="preserve">By Lottery </w:t>
                  </w:r>
                  <w:r w:rsidRPr="00E84582">
                    <w:t>distributors</w:t>
                  </w:r>
                </w:p>
              </w:tc>
              <w:tc>
                <w:tcPr>
                  <w:tcW w:w="1359" w:type="dxa"/>
                  <w:tcBorders>
                    <w:top w:val="nil"/>
                    <w:left w:val="nil"/>
                    <w:bottom w:val="single" w:sz="4" w:space="0" w:color="auto"/>
                    <w:right w:val="single" w:sz="4" w:space="0" w:color="auto"/>
                  </w:tcBorders>
                  <w:shd w:val="clear" w:color="000000" w:fill="FFFFFF"/>
                  <w:noWrap/>
                  <w:vAlign w:val="bottom"/>
                </w:tcPr>
                <w:p w14:paraId="0C6F78A2" w14:textId="41868DDD" w:rsidR="00E84582" w:rsidRPr="00E84582" w:rsidRDefault="00E84582" w:rsidP="00E84582">
                  <w:pPr>
                    <w:jc w:val="center"/>
                    <w:rPr>
                      <w:rFonts w:cs="Calibri"/>
                      <w:lang w:eastAsia="en-GB"/>
                    </w:rPr>
                  </w:pPr>
                  <w:r>
                    <w:rPr>
                      <w:rFonts w:cs="Calibri"/>
                      <w:lang w:eastAsia="en-GB"/>
                    </w:rPr>
                    <w:t>£</w:t>
                  </w:r>
                  <w:r w:rsidR="00B40796">
                    <w:rPr>
                      <w:rFonts w:cs="Calibri"/>
                      <w:lang w:eastAsia="en-GB"/>
                    </w:rPr>
                    <w:t>49.1</w:t>
                  </w:r>
                  <w:r>
                    <w:rPr>
                      <w:rFonts w:cs="Calibri"/>
                      <w:lang w:eastAsia="en-GB"/>
                    </w:rPr>
                    <w:t>m</w:t>
                  </w:r>
                </w:p>
              </w:tc>
              <w:tc>
                <w:tcPr>
                  <w:tcW w:w="1359" w:type="dxa"/>
                  <w:tcBorders>
                    <w:top w:val="nil"/>
                    <w:left w:val="nil"/>
                    <w:bottom w:val="single" w:sz="4" w:space="0" w:color="auto"/>
                    <w:right w:val="single" w:sz="4" w:space="0" w:color="auto"/>
                  </w:tcBorders>
                  <w:shd w:val="clear" w:color="000000" w:fill="FFFFFF"/>
                  <w:noWrap/>
                  <w:vAlign w:val="bottom"/>
                </w:tcPr>
                <w:p w14:paraId="2B73928E" w14:textId="7084E021" w:rsidR="00E84582" w:rsidRPr="00E84582" w:rsidRDefault="00E84582" w:rsidP="00E84582">
                  <w:pPr>
                    <w:jc w:val="center"/>
                    <w:rPr>
                      <w:rFonts w:cs="Calibri"/>
                      <w:lang w:eastAsia="en-GB"/>
                    </w:rPr>
                  </w:pPr>
                  <w:r>
                    <w:rPr>
                      <w:rFonts w:cs="Calibri"/>
                      <w:lang w:eastAsia="en-GB"/>
                    </w:rPr>
                    <w:t>£</w:t>
                  </w:r>
                  <w:r w:rsidR="00B40796">
                    <w:rPr>
                      <w:rFonts w:cs="Calibri"/>
                      <w:lang w:eastAsia="en-GB"/>
                    </w:rPr>
                    <w:t>50.2</w:t>
                  </w:r>
                  <w:r>
                    <w:rPr>
                      <w:rFonts w:cs="Calibri"/>
                      <w:lang w:eastAsia="en-GB"/>
                    </w:rPr>
                    <w:t>m</w:t>
                  </w:r>
                </w:p>
              </w:tc>
              <w:tc>
                <w:tcPr>
                  <w:tcW w:w="1360" w:type="dxa"/>
                  <w:tcBorders>
                    <w:top w:val="nil"/>
                    <w:left w:val="nil"/>
                    <w:bottom w:val="single" w:sz="4" w:space="0" w:color="auto"/>
                    <w:right w:val="single" w:sz="4" w:space="0" w:color="auto"/>
                  </w:tcBorders>
                  <w:shd w:val="clear" w:color="000000" w:fill="FFFFFF"/>
                  <w:noWrap/>
                  <w:vAlign w:val="bottom"/>
                </w:tcPr>
                <w:p w14:paraId="0BCA11CE" w14:textId="13A17C1F" w:rsidR="00E84582" w:rsidRPr="00E84582" w:rsidRDefault="00E84582" w:rsidP="00E84582">
                  <w:pPr>
                    <w:jc w:val="center"/>
                    <w:rPr>
                      <w:rFonts w:cs="Calibri"/>
                      <w:lang w:eastAsia="en-GB"/>
                    </w:rPr>
                  </w:pPr>
                  <w:r>
                    <w:rPr>
                      <w:rFonts w:cs="Calibri"/>
                      <w:lang w:eastAsia="en-GB"/>
                    </w:rPr>
                    <w:t>£</w:t>
                  </w:r>
                  <w:r w:rsidR="00B40796">
                    <w:rPr>
                      <w:rFonts w:cs="Calibri"/>
                      <w:lang w:eastAsia="en-GB"/>
                    </w:rPr>
                    <w:t>92.8</w:t>
                  </w:r>
                  <w:r>
                    <w:rPr>
                      <w:rFonts w:cs="Calibri"/>
                      <w:lang w:eastAsia="en-GB"/>
                    </w:rPr>
                    <w:t>m</w:t>
                  </w:r>
                </w:p>
              </w:tc>
            </w:tr>
            <w:tr w:rsidR="00E84582" w:rsidRPr="00471F31" w14:paraId="13C23812" w14:textId="77777777" w:rsidTr="00E84582">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0EE1A7DA" w14:textId="4D320F5C" w:rsidR="00E84582" w:rsidRPr="00E84582" w:rsidRDefault="00E84582" w:rsidP="00E84582">
                  <w:pPr>
                    <w:jc w:val="center"/>
                    <w:rPr>
                      <w:rFonts w:cs="Calibri"/>
                      <w:lang w:eastAsia="en-GB"/>
                    </w:rPr>
                  </w:pPr>
                  <w:r w:rsidRPr="00E84582">
                    <w:rPr>
                      <w:rFonts w:cs="Calibri"/>
                      <w:lang w:eastAsia="en-GB"/>
                    </w:rPr>
                    <w:t>By</w:t>
                  </w:r>
                  <w:r w:rsidRPr="00E84582">
                    <w:t xml:space="preserve"> Grant-making organisations</w:t>
                  </w:r>
                </w:p>
              </w:tc>
              <w:tc>
                <w:tcPr>
                  <w:tcW w:w="1359" w:type="dxa"/>
                  <w:tcBorders>
                    <w:top w:val="nil"/>
                    <w:left w:val="nil"/>
                    <w:bottom w:val="single" w:sz="4" w:space="0" w:color="auto"/>
                    <w:right w:val="single" w:sz="4" w:space="0" w:color="auto"/>
                  </w:tcBorders>
                  <w:shd w:val="clear" w:color="000000" w:fill="FFFFFF"/>
                  <w:noWrap/>
                  <w:vAlign w:val="bottom"/>
                </w:tcPr>
                <w:p w14:paraId="01F11763" w14:textId="3A2D3F41" w:rsidR="00E84582" w:rsidRPr="00E84582" w:rsidRDefault="00E84582" w:rsidP="00E84582">
                  <w:pPr>
                    <w:jc w:val="center"/>
                    <w:rPr>
                      <w:rFonts w:cs="Calibri"/>
                      <w:lang w:eastAsia="en-GB"/>
                    </w:rPr>
                  </w:pPr>
                  <w:r>
                    <w:rPr>
                      <w:rFonts w:cs="Calibri"/>
                      <w:lang w:eastAsia="en-GB"/>
                    </w:rPr>
                    <w:t>£</w:t>
                  </w:r>
                  <w:r w:rsidR="00B40796">
                    <w:rPr>
                      <w:rFonts w:cs="Calibri"/>
                      <w:lang w:eastAsia="en-GB"/>
                    </w:rPr>
                    <w:t>90.7</w:t>
                  </w:r>
                  <w:r>
                    <w:rPr>
                      <w:rFonts w:cs="Calibri"/>
                      <w:lang w:eastAsia="en-GB"/>
                    </w:rPr>
                    <w:t>m</w:t>
                  </w:r>
                </w:p>
              </w:tc>
              <w:tc>
                <w:tcPr>
                  <w:tcW w:w="1359" w:type="dxa"/>
                  <w:tcBorders>
                    <w:top w:val="nil"/>
                    <w:left w:val="nil"/>
                    <w:bottom w:val="single" w:sz="4" w:space="0" w:color="auto"/>
                    <w:right w:val="single" w:sz="4" w:space="0" w:color="auto"/>
                  </w:tcBorders>
                  <w:shd w:val="clear" w:color="000000" w:fill="FFFFFF"/>
                  <w:noWrap/>
                  <w:vAlign w:val="bottom"/>
                </w:tcPr>
                <w:p w14:paraId="191AE57E" w14:textId="6B417998" w:rsidR="00E84582" w:rsidRPr="00E84582" w:rsidRDefault="00E84582" w:rsidP="00E84582">
                  <w:pPr>
                    <w:jc w:val="center"/>
                    <w:rPr>
                      <w:rFonts w:cs="Calibri"/>
                      <w:lang w:eastAsia="en-GB"/>
                    </w:rPr>
                  </w:pPr>
                  <w:r>
                    <w:rPr>
                      <w:rFonts w:cs="Calibri"/>
                      <w:lang w:eastAsia="en-GB"/>
                    </w:rPr>
                    <w:t>£11</w:t>
                  </w:r>
                  <w:r w:rsidR="00B40796">
                    <w:rPr>
                      <w:rFonts w:cs="Calibri"/>
                      <w:lang w:eastAsia="en-GB"/>
                    </w:rPr>
                    <w:t>9</w:t>
                  </w:r>
                  <w:r>
                    <w:rPr>
                      <w:rFonts w:cs="Calibri"/>
                      <w:lang w:eastAsia="en-GB"/>
                    </w:rPr>
                    <w:t>.</w:t>
                  </w:r>
                  <w:r w:rsidR="00B40796">
                    <w:rPr>
                      <w:rFonts w:cs="Calibri"/>
                      <w:lang w:eastAsia="en-GB"/>
                    </w:rPr>
                    <w:t>5</w:t>
                  </w:r>
                  <w:r>
                    <w:rPr>
                      <w:rFonts w:cs="Calibri"/>
                      <w:lang w:eastAsia="en-GB"/>
                    </w:rPr>
                    <w:t>m</w:t>
                  </w:r>
                </w:p>
              </w:tc>
              <w:tc>
                <w:tcPr>
                  <w:tcW w:w="1360" w:type="dxa"/>
                  <w:tcBorders>
                    <w:top w:val="nil"/>
                    <w:left w:val="nil"/>
                    <w:bottom w:val="single" w:sz="4" w:space="0" w:color="auto"/>
                    <w:right w:val="single" w:sz="4" w:space="0" w:color="auto"/>
                  </w:tcBorders>
                  <w:shd w:val="clear" w:color="000000" w:fill="FFFFFF"/>
                  <w:noWrap/>
                  <w:vAlign w:val="bottom"/>
                </w:tcPr>
                <w:p w14:paraId="37E2D2EA" w14:textId="7C81C50A" w:rsidR="00E84582" w:rsidRPr="00E84582" w:rsidRDefault="00E84582" w:rsidP="00E84582">
                  <w:pPr>
                    <w:jc w:val="center"/>
                    <w:rPr>
                      <w:rFonts w:cs="Calibri"/>
                      <w:lang w:eastAsia="en-GB"/>
                    </w:rPr>
                  </w:pPr>
                  <w:r>
                    <w:rPr>
                      <w:rFonts w:cs="Calibri"/>
                      <w:lang w:eastAsia="en-GB"/>
                    </w:rPr>
                    <w:t>£</w:t>
                  </w:r>
                  <w:r w:rsidR="00B40796">
                    <w:rPr>
                      <w:rFonts w:cs="Calibri"/>
                      <w:lang w:eastAsia="en-GB"/>
                    </w:rPr>
                    <w:t>90.7</w:t>
                  </w:r>
                  <w:r>
                    <w:rPr>
                      <w:rFonts w:cs="Calibri"/>
                      <w:lang w:eastAsia="en-GB"/>
                    </w:rPr>
                    <w:t>m</w:t>
                  </w:r>
                </w:p>
              </w:tc>
            </w:tr>
            <w:tr w:rsidR="00E84582" w:rsidRPr="00471F31" w14:paraId="74A45ABE" w14:textId="77777777" w:rsidTr="00E84582">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1CEDD4F2" w14:textId="5DA2C4F6" w:rsidR="00E84582" w:rsidRPr="00E84582" w:rsidRDefault="00E84582" w:rsidP="00E84582">
                  <w:pPr>
                    <w:jc w:val="center"/>
                    <w:rPr>
                      <w:rFonts w:cs="Calibri"/>
                      <w:b/>
                      <w:bCs/>
                      <w:lang w:eastAsia="en-GB"/>
                    </w:rPr>
                  </w:pPr>
                  <w:r w:rsidRPr="00E84582">
                    <w:rPr>
                      <w:rFonts w:cs="Calibri"/>
                      <w:b/>
                      <w:bCs/>
                      <w:lang w:eastAsia="en-GB"/>
                    </w:rPr>
                    <w:t>Total</w:t>
                  </w:r>
                </w:p>
              </w:tc>
              <w:tc>
                <w:tcPr>
                  <w:tcW w:w="1359" w:type="dxa"/>
                  <w:tcBorders>
                    <w:top w:val="nil"/>
                    <w:left w:val="nil"/>
                    <w:bottom w:val="single" w:sz="4" w:space="0" w:color="auto"/>
                    <w:right w:val="single" w:sz="4" w:space="0" w:color="auto"/>
                  </w:tcBorders>
                  <w:shd w:val="clear" w:color="000000" w:fill="FFFFFF"/>
                  <w:noWrap/>
                  <w:vAlign w:val="bottom"/>
                </w:tcPr>
                <w:p w14:paraId="6B0F098D" w14:textId="59A6C4F5" w:rsidR="00E84582" w:rsidRPr="00E84582" w:rsidRDefault="00E84582" w:rsidP="00E84582">
                  <w:pPr>
                    <w:jc w:val="center"/>
                    <w:rPr>
                      <w:rFonts w:cs="Calibri"/>
                      <w:b/>
                      <w:bCs/>
                      <w:lang w:eastAsia="en-GB"/>
                    </w:rPr>
                  </w:pPr>
                  <w:r w:rsidRPr="00E84582">
                    <w:rPr>
                      <w:rFonts w:cs="Calibri"/>
                      <w:b/>
                      <w:bCs/>
                      <w:lang w:eastAsia="en-GB"/>
                    </w:rPr>
                    <w:t>£14</w:t>
                  </w:r>
                  <w:r w:rsidR="00B40796">
                    <w:rPr>
                      <w:rFonts w:cs="Calibri"/>
                      <w:b/>
                      <w:bCs/>
                      <w:lang w:eastAsia="en-GB"/>
                    </w:rPr>
                    <w:t>6.9</w:t>
                  </w:r>
                  <w:r w:rsidRPr="00E84582">
                    <w:rPr>
                      <w:rFonts w:cs="Calibri"/>
                      <w:b/>
                      <w:bCs/>
                      <w:lang w:eastAsia="en-GB"/>
                    </w:rPr>
                    <w:t>m</w:t>
                  </w:r>
                </w:p>
              </w:tc>
              <w:tc>
                <w:tcPr>
                  <w:tcW w:w="1359" w:type="dxa"/>
                  <w:tcBorders>
                    <w:top w:val="nil"/>
                    <w:left w:val="nil"/>
                    <w:bottom w:val="single" w:sz="4" w:space="0" w:color="auto"/>
                    <w:right w:val="single" w:sz="4" w:space="0" w:color="auto"/>
                  </w:tcBorders>
                  <w:shd w:val="clear" w:color="000000" w:fill="FFFFFF"/>
                  <w:noWrap/>
                  <w:vAlign w:val="bottom"/>
                </w:tcPr>
                <w:p w14:paraId="3AEE448F" w14:textId="7523EF1F" w:rsidR="00E84582" w:rsidRPr="00E84582" w:rsidRDefault="00E84582" w:rsidP="00E84582">
                  <w:pPr>
                    <w:jc w:val="center"/>
                    <w:rPr>
                      <w:rFonts w:cs="Calibri"/>
                      <w:b/>
                      <w:bCs/>
                      <w:lang w:eastAsia="en-GB"/>
                    </w:rPr>
                  </w:pPr>
                  <w:r w:rsidRPr="00E84582">
                    <w:rPr>
                      <w:rFonts w:cs="Calibri"/>
                      <w:b/>
                      <w:bCs/>
                      <w:lang w:eastAsia="en-GB"/>
                    </w:rPr>
                    <w:t>£2</w:t>
                  </w:r>
                  <w:r w:rsidR="00B40796">
                    <w:rPr>
                      <w:rFonts w:cs="Calibri"/>
                      <w:b/>
                      <w:bCs/>
                      <w:lang w:eastAsia="en-GB"/>
                    </w:rPr>
                    <w:t>16</w:t>
                  </w:r>
                  <w:r w:rsidRPr="00E84582">
                    <w:rPr>
                      <w:rFonts w:cs="Calibri"/>
                      <w:b/>
                      <w:bCs/>
                      <w:lang w:eastAsia="en-GB"/>
                    </w:rPr>
                    <w:t>.</w:t>
                  </w:r>
                  <w:r w:rsidR="00B40796">
                    <w:rPr>
                      <w:rFonts w:cs="Calibri"/>
                      <w:b/>
                      <w:bCs/>
                      <w:lang w:eastAsia="en-GB"/>
                    </w:rPr>
                    <w:t>0</w:t>
                  </w:r>
                  <w:r w:rsidRPr="00E84582">
                    <w:rPr>
                      <w:rFonts w:cs="Calibri"/>
                      <w:b/>
                      <w:bCs/>
                      <w:lang w:eastAsia="en-GB"/>
                    </w:rPr>
                    <w:t>m</w:t>
                  </w:r>
                </w:p>
              </w:tc>
              <w:tc>
                <w:tcPr>
                  <w:tcW w:w="1360" w:type="dxa"/>
                  <w:tcBorders>
                    <w:top w:val="nil"/>
                    <w:left w:val="nil"/>
                    <w:bottom w:val="single" w:sz="4" w:space="0" w:color="auto"/>
                    <w:right w:val="single" w:sz="4" w:space="0" w:color="auto"/>
                  </w:tcBorders>
                  <w:shd w:val="clear" w:color="000000" w:fill="FFFFFF"/>
                  <w:noWrap/>
                  <w:vAlign w:val="bottom"/>
                </w:tcPr>
                <w:p w14:paraId="61C8EFCC" w14:textId="67BA708E" w:rsidR="00E84582" w:rsidRPr="00E84582" w:rsidRDefault="00E84582" w:rsidP="00E84582">
                  <w:pPr>
                    <w:jc w:val="center"/>
                    <w:rPr>
                      <w:rFonts w:cs="Calibri"/>
                      <w:b/>
                      <w:bCs/>
                      <w:lang w:eastAsia="en-GB"/>
                    </w:rPr>
                  </w:pPr>
                  <w:r w:rsidRPr="00E84582">
                    <w:rPr>
                      <w:rFonts w:cs="Calibri"/>
                      <w:b/>
                      <w:bCs/>
                      <w:lang w:eastAsia="en-GB"/>
                    </w:rPr>
                    <w:t>£</w:t>
                  </w:r>
                  <w:r w:rsidR="00B40796">
                    <w:rPr>
                      <w:rFonts w:cs="Calibri"/>
                      <w:b/>
                      <w:bCs/>
                      <w:lang w:eastAsia="en-GB"/>
                    </w:rPr>
                    <w:t>203</w:t>
                  </w:r>
                  <w:r w:rsidRPr="00E84582">
                    <w:rPr>
                      <w:rFonts w:cs="Calibri"/>
                      <w:b/>
                      <w:bCs/>
                      <w:lang w:eastAsia="en-GB"/>
                    </w:rPr>
                    <w:t>.</w:t>
                  </w:r>
                  <w:r w:rsidR="00B40796">
                    <w:rPr>
                      <w:rFonts w:cs="Calibri"/>
                      <w:b/>
                      <w:bCs/>
                      <w:lang w:eastAsia="en-GB"/>
                    </w:rPr>
                    <w:t>7</w:t>
                  </w:r>
                  <w:r w:rsidRPr="00E84582">
                    <w:rPr>
                      <w:rFonts w:cs="Calibri"/>
                      <w:b/>
                      <w:bCs/>
                      <w:lang w:eastAsia="en-GB"/>
                    </w:rPr>
                    <w:t>m</w:t>
                  </w:r>
                </w:p>
              </w:tc>
            </w:tr>
          </w:tbl>
          <w:p w14:paraId="458857F7" w14:textId="77777777" w:rsidR="00FE28A3" w:rsidRPr="00FE28A3" w:rsidRDefault="00FE28A3" w:rsidP="00FE28A3">
            <w:pPr>
              <w:rPr>
                <w:rFonts w:ascii="Calibri" w:hAnsi="Calibri"/>
                <w:color w:val="FF0000"/>
                <w:sz w:val="22"/>
                <w:szCs w:val="22"/>
                <w:lang w:eastAsia="en-GB"/>
              </w:rPr>
            </w:pPr>
            <w:r w:rsidRPr="00FE28A3">
              <w:rPr>
                <w:color w:val="000000" w:themeColor="text1"/>
              </w:rPr>
              <w:t xml:space="preserve">* Data published on 360giving is liable to change as funders can publish new data at any time. 360giving has produced a </w:t>
            </w:r>
            <w:hyperlink r:id="rId24" w:history="1">
              <w:r>
                <w:rPr>
                  <w:rStyle w:val="Hyperlink"/>
                </w:rPr>
                <w:t>Quality Dashboard</w:t>
              </w:r>
            </w:hyperlink>
            <w:r w:rsidRPr="00FE28A3">
              <w:rPr>
                <w:color w:val="000000" w:themeColor="text1"/>
              </w:rPr>
              <w:t>, which details the extent to which the grants data for each year are complete.</w:t>
            </w:r>
          </w:p>
          <w:p w14:paraId="48CFC37D" w14:textId="0225661F" w:rsidR="00E84582" w:rsidRDefault="00E84582" w:rsidP="00714E4E">
            <w:r>
              <w:t xml:space="preserve">* Only covers grants awarded to organisations that were </w:t>
            </w:r>
            <w:r w:rsidR="00F15784">
              <w:t xml:space="preserve">a </w:t>
            </w:r>
            <w:r w:rsidRPr="00E84582">
              <w:t>Charitable Incorporated Organisation</w:t>
            </w:r>
            <w:r>
              <w:t xml:space="preserve">; </w:t>
            </w:r>
            <w:r w:rsidRPr="00E84582">
              <w:t>Community Amateur Sports Club</w:t>
            </w:r>
            <w:r>
              <w:t xml:space="preserve">; </w:t>
            </w:r>
            <w:r w:rsidRPr="00E84582">
              <w:t>Community Benefit Society</w:t>
            </w:r>
            <w:r>
              <w:t xml:space="preserve">; </w:t>
            </w:r>
            <w:r w:rsidRPr="00E84582">
              <w:t>Community Interest Company</w:t>
            </w:r>
            <w:r w:rsidR="00F15784">
              <w:t xml:space="preserve">; </w:t>
            </w:r>
            <w:r w:rsidRPr="00E84582">
              <w:t>Registered Charity</w:t>
            </w:r>
            <w:r w:rsidR="00F15784">
              <w:t xml:space="preserve">; or </w:t>
            </w:r>
            <w:r w:rsidRPr="00E84582">
              <w:t>Registered Society</w:t>
            </w:r>
            <w:r w:rsidR="00F15784">
              <w:t>.</w:t>
            </w:r>
          </w:p>
          <w:p w14:paraId="151E3C3A" w14:textId="0FF6B355" w:rsidR="00255320" w:rsidRPr="00FE28A3" w:rsidRDefault="00F15784" w:rsidP="00714E4E">
            <w:pPr>
              <w:rPr>
                <w:color w:val="000000" w:themeColor="text1"/>
              </w:rPr>
            </w:pPr>
            <w:r>
              <w:t>* As no beneficiary location was recorded on central government grants, grants were</w:t>
            </w:r>
            <w:r w:rsidR="003114E8">
              <w:t xml:space="preserve"> only</w:t>
            </w:r>
            <w:r>
              <w:t xml:space="preserve"> included if they included the term ‘London’ in the grant title, grant description</w:t>
            </w:r>
            <w:r w:rsidR="0006448D">
              <w:t xml:space="preserve"> or</w:t>
            </w:r>
            <w:r>
              <w:t xml:space="preserve"> recipient organisation name. </w:t>
            </w:r>
            <w:r w:rsidR="003114E8">
              <w:t xml:space="preserve">This was done to help with the </w:t>
            </w:r>
            <w:r w:rsidR="003114E8" w:rsidRPr="003114E8">
              <w:t>head</w:t>
            </w:r>
            <w:r w:rsidR="00DD215D">
              <w:t xml:space="preserve"> </w:t>
            </w:r>
            <w:r w:rsidR="003114E8" w:rsidRPr="003114E8">
              <w:t>office effect</w:t>
            </w:r>
            <w:r w:rsidR="003114E8">
              <w:t>, where the data is skewed</w:t>
            </w:r>
            <w:r w:rsidR="003114E8" w:rsidRPr="003114E8">
              <w:t xml:space="preserve"> significantl</w:t>
            </w:r>
            <w:r w:rsidR="003114E8">
              <w:t>y by</w:t>
            </w:r>
            <w:r w:rsidR="00DD215D">
              <w:t xml:space="preserve"> grants awarded to</w:t>
            </w:r>
            <w:r w:rsidR="003114E8">
              <w:t xml:space="preserve"> </w:t>
            </w:r>
            <w:r w:rsidR="003114E8" w:rsidRPr="003114E8">
              <w:t xml:space="preserve">head offices of </w:t>
            </w:r>
            <w:r w:rsidR="003114E8" w:rsidRPr="00FE28A3">
              <w:rPr>
                <w:color w:val="000000" w:themeColor="text1"/>
              </w:rPr>
              <w:t xml:space="preserve">national or international charities that happen to be registered in London. </w:t>
            </w:r>
            <w:r w:rsidR="0006448D">
              <w:rPr>
                <w:color w:val="000000" w:themeColor="text1"/>
              </w:rPr>
              <w:t>However, this is likely to exclude</w:t>
            </w:r>
            <w:r w:rsidR="0006448D" w:rsidRPr="0006448D">
              <w:rPr>
                <w:color w:val="000000" w:themeColor="text1"/>
              </w:rPr>
              <w:t xml:space="preserve"> some grants that </w:t>
            </w:r>
            <w:r w:rsidR="0006448D">
              <w:rPr>
                <w:color w:val="000000" w:themeColor="text1"/>
              </w:rPr>
              <w:t>woul</w:t>
            </w:r>
            <w:r w:rsidR="0006448D" w:rsidRPr="0006448D">
              <w:rPr>
                <w:color w:val="000000" w:themeColor="text1"/>
              </w:rPr>
              <w:t xml:space="preserve">d </w:t>
            </w:r>
            <w:r w:rsidR="0006448D">
              <w:rPr>
                <w:color w:val="000000" w:themeColor="text1"/>
              </w:rPr>
              <w:t xml:space="preserve">normally </w:t>
            </w:r>
            <w:r w:rsidR="0006448D" w:rsidRPr="0006448D">
              <w:rPr>
                <w:color w:val="000000" w:themeColor="text1"/>
              </w:rPr>
              <w:t xml:space="preserve">expect to </w:t>
            </w:r>
            <w:r w:rsidR="0006448D">
              <w:rPr>
                <w:color w:val="000000" w:themeColor="text1"/>
              </w:rPr>
              <w:t xml:space="preserve">be </w:t>
            </w:r>
            <w:r w:rsidR="0006448D" w:rsidRPr="0006448D">
              <w:rPr>
                <w:color w:val="000000" w:themeColor="text1"/>
              </w:rPr>
              <w:t>include</w:t>
            </w:r>
            <w:r w:rsidR="0006448D">
              <w:rPr>
                <w:color w:val="000000" w:themeColor="text1"/>
              </w:rPr>
              <w:t>d</w:t>
            </w:r>
            <w:r w:rsidR="0006448D" w:rsidRPr="0006448D">
              <w:rPr>
                <w:color w:val="000000" w:themeColor="text1"/>
              </w:rPr>
              <w:t>.</w:t>
            </w:r>
          </w:p>
          <w:p w14:paraId="0E7C1A5B" w14:textId="631DA222" w:rsidR="006B348A" w:rsidRPr="00714E4E" w:rsidRDefault="006B348A" w:rsidP="00FE28A3"/>
        </w:tc>
      </w:tr>
    </w:tbl>
    <w:p w14:paraId="3C2D65BB" w14:textId="77777777" w:rsidR="00714E4E" w:rsidRDefault="00714E4E"/>
    <w:p w14:paraId="52371C2E" w14:textId="2740EA8D" w:rsidR="00F63327" w:rsidRDefault="00F63327"/>
    <w:p w14:paraId="0072F4E6" w14:textId="5529CE94" w:rsidR="00F63327" w:rsidRDefault="00F63327"/>
    <w:p w14:paraId="3FE6F85B" w14:textId="77777777" w:rsidR="00F63327" w:rsidRDefault="00F63327"/>
    <w:p w14:paraId="02A2F3FB" w14:textId="67905805" w:rsidR="00A87AB1" w:rsidRPr="00AF22A0" w:rsidRDefault="00A87AB1" w:rsidP="00AF22A0"/>
    <w:sectPr w:rsidR="00A87AB1" w:rsidRPr="00AF22A0" w:rsidSect="00AF22A0">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1932" w14:textId="77777777" w:rsidR="00E03C9D" w:rsidRDefault="00E03C9D" w:rsidP="003E202F">
      <w:r>
        <w:separator/>
      </w:r>
    </w:p>
  </w:endnote>
  <w:endnote w:type="continuationSeparator" w:id="0">
    <w:p w14:paraId="7FE4221A" w14:textId="77777777" w:rsidR="00E03C9D" w:rsidRDefault="00E03C9D" w:rsidP="003E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854519"/>
      <w:docPartObj>
        <w:docPartGallery w:val="Page Numbers (Bottom of Page)"/>
        <w:docPartUnique/>
      </w:docPartObj>
    </w:sdtPr>
    <w:sdtEndPr>
      <w:rPr>
        <w:noProof/>
      </w:rPr>
    </w:sdtEndPr>
    <w:sdtContent>
      <w:p w14:paraId="504EBF82" w14:textId="473104DB" w:rsidR="003E202F" w:rsidRDefault="003E20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8DA3C1" w14:textId="77777777" w:rsidR="003E202F" w:rsidRDefault="003E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C937" w14:textId="77777777" w:rsidR="00E03C9D" w:rsidRDefault="00E03C9D" w:rsidP="003E202F">
      <w:r>
        <w:separator/>
      </w:r>
    </w:p>
  </w:footnote>
  <w:footnote w:type="continuationSeparator" w:id="0">
    <w:p w14:paraId="0AACA062" w14:textId="77777777" w:rsidR="00E03C9D" w:rsidRDefault="00E03C9D" w:rsidP="003E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258E"/>
    <w:multiLevelType w:val="hybridMultilevel"/>
    <w:tmpl w:val="CA301654"/>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77CB9"/>
    <w:multiLevelType w:val="hybridMultilevel"/>
    <w:tmpl w:val="576AD6D8"/>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C0E49"/>
    <w:multiLevelType w:val="hybridMultilevel"/>
    <w:tmpl w:val="107223D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52524D"/>
    <w:multiLevelType w:val="hybridMultilevel"/>
    <w:tmpl w:val="7C30D10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5F4399"/>
    <w:multiLevelType w:val="hybridMultilevel"/>
    <w:tmpl w:val="3314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21921"/>
    <w:multiLevelType w:val="hybridMultilevel"/>
    <w:tmpl w:val="9F60AA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4E1649"/>
    <w:multiLevelType w:val="hybridMultilevel"/>
    <w:tmpl w:val="40C40812"/>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D514D2"/>
    <w:multiLevelType w:val="hybridMultilevel"/>
    <w:tmpl w:val="E42E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75088"/>
    <w:multiLevelType w:val="hybridMultilevel"/>
    <w:tmpl w:val="5F3C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B09CA"/>
    <w:multiLevelType w:val="hybridMultilevel"/>
    <w:tmpl w:val="A8FC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213295">
    <w:abstractNumId w:val="5"/>
  </w:num>
  <w:num w:numId="2" w16cid:durableId="507603215">
    <w:abstractNumId w:val="1"/>
  </w:num>
  <w:num w:numId="3" w16cid:durableId="653535510">
    <w:abstractNumId w:val="0"/>
  </w:num>
  <w:num w:numId="4" w16cid:durableId="1711954739">
    <w:abstractNumId w:val="6"/>
  </w:num>
  <w:num w:numId="5" w16cid:durableId="33971175">
    <w:abstractNumId w:val="2"/>
  </w:num>
  <w:num w:numId="6" w16cid:durableId="941031451">
    <w:abstractNumId w:val="3"/>
  </w:num>
  <w:num w:numId="7" w16cid:durableId="1768426846">
    <w:abstractNumId w:val="9"/>
  </w:num>
  <w:num w:numId="8" w16cid:durableId="542712179">
    <w:abstractNumId w:val="8"/>
  </w:num>
  <w:num w:numId="9" w16cid:durableId="616984000">
    <w:abstractNumId w:val="4"/>
  </w:num>
  <w:num w:numId="10" w16cid:durableId="1136408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B1"/>
    <w:rsid w:val="00004360"/>
    <w:rsid w:val="000136B9"/>
    <w:rsid w:val="000471F1"/>
    <w:rsid w:val="0006448D"/>
    <w:rsid w:val="000775B0"/>
    <w:rsid w:val="00081D6E"/>
    <w:rsid w:val="000D2423"/>
    <w:rsid w:val="000E5D6A"/>
    <w:rsid w:val="00124483"/>
    <w:rsid w:val="00125134"/>
    <w:rsid w:val="00156A90"/>
    <w:rsid w:val="00171910"/>
    <w:rsid w:val="00176CB9"/>
    <w:rsid w:val="00192936"/>
    <w:rsid w:val="001C3C8C"/>
    <w:rsid w:val="001D254E"/>
    <w:rsid w:val="001F4710"/>
    <w:rsid w:val="00251485"/>
    <w:rsid w:val="00255320"/>
    <w:rsid w:val="00282045"/>
    <w:rsid w:val="00287AD7"/>
    <w:rsid w:val="002B0D43"/>
    <w:rsid w:val="002E66FC"/>
    <w:rsid w:val="003114E8"/>
    <w:rsid w:val="003119C5"/>
    <w:rsid w:val="0035694F"/>
    <w:rsid w:val="003670C3"/>
    <w:rsid w:val="003E202F"/>
    <w:rsid w:val="00406431"/>
    <w:rsid w:val="00406695"/>
    <w:rsid w:val="00427056"/>
    <w:rsid w:val="00471F31"/>
    <w:rsid w:val="004C0BF2"/>
    <w:rsid w:val="004C361A"/>
    <w:rsid w:val="004C50A4"/>
    <w:rsid w:val="004E385F"/>
    <w:rsid w:val="004F6DAE"/>
    <w:rsid w:val="00526028"/>
    <w:rsid w:val="00563C76"/>
    <w:rsid w:val="005E04D3"/>
    <w:rsid w:val="006138DE"/>
    <w:rsid w:val="00622F3A"/>
    <w:rsid w:val="006512F2"/>
    <w:rsid w:val="00665676"/>
    <w:rsid w:val="00682A02"/>
    <w:rsid w:val="006B1221"/>
    <w:rsid w:val="006B14C6"/>
    <w:rsid w:val="006B348A"/>
    <w:rsid w:val="00714E4E"/>
    <w:rsid w:val="007905E0"/>
    <w:rsid w:val="007F297C"/>
    <w:rsid w:val="007F62FB"/>
    <w:rsid w:val="00804526"/>
    <w:rsid w:val="00821D5F"/>
    <w:rsid w:val="008335D7"/>
    <w:rsid w:val="00834E7B"/>
    <w:rsid w:val="0086017E"/>
    <w:rsid w:val="008B21FC"/>
    <w:rsid w:val="00906147"/>
    <w:rsid w:val="00920FBF"/>
    <w:rsid w:val="009843B1"/>
    <w:rsid w:val="009B5127"/>
    <w:rsid w:val="009C17DB"/>
    <w:rsid w:val="009E070F"/>
    <w:rsid w:val="00A87AB1"/>
    <w:rsid w:val="00AD0BF6"/>
    <w:rsid w:val="00AD2A74"/>
    <w:rsid w:val="00AF22A0"/>
    <w:rsid w:val="00AF7A4A"/>
    <w:rsid w:val="00B40796"/>
    <w:rsid w:val="00B87A10"/>
    <w:rsid w:val="00C12155"/>
    <w:rsid w:val="00C620CE"/>
    <w:rsid w:val="00CA0942"/>
    <w:rsid w:val="00CA2FFE"/>
    <w:rsid w:val="00D03C2A"/>
    <w:rsid w:val="00D16D51"/>
    <w:rsid w:val="00D22437"/>
    <w:rsid w:val="00D43831"/>
    <w:rsid w:val="00D8773C"/>
    <w:rsid w:val="00DB054F"/>
    <w:rsid w:val="00DC5573"/>
    <w:rsid w:val="00DD215D"/>
    <w:rsid w:val="00DF6BF7"/>
    <w:rsid w:val="00E03C9D"/>
    <w:rsid w:val="00E4000A"/>
    <w:rsid w:val="00E84582"/>
    <w:rsid w:val="00ED4D24"/>
    <w:rsid w:val="00ED75CA"/>
    <w:rsid w:val="00EE5886"/>
    <w:rsid w:val="00F01733"/>
    <w:rsid w:val="00F12744"/>
    <w:rsid w:val="00F15784"/>
    <w:rsid w:val="00F227AC"/>
    <w:rsid w:val="00F45CA7"/>
    <w:rsid w:val="00F61472"/>
    <w:rsid w:val="00F63327"/>
    <w:rsid w:val="00F66B44"/>
    <w:rsid w:val="00F77F5C"/>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83749"/>
  <w15:chartTrackingRefBased/>
  <w15:docId w15:val="{915007CE-9884-4E89-8487-ADF2C459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table" w:styleId="TableGrid">
    <w:name w:val="Table Grid"/>
    <w:basedOn w:val="TableNormal"/>
    <w:rsid w:val="00A87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AB1"/>
    <w:pPr>
      <w:ind w:left="720"/>
      <w:contextualSpacing/>
    </w:pPr>
  </w:style>
  <w:style w:type="paragraph" w:styleId="Header">
    <w:name w:val="header"/>
    <w:basedOn w:val="Normal"/>
    <w:link w:val="HeaderChar"/>
    <w:unhideWhenUsed/>
    <w:rsid w:val="003E202F"/>
    <w:pPr>
      <w:tabs>
        <w:tab w:val="center" w:pos="4513"/>
        <w:tab w:val="right" w:pos="9026"/>
      </w:tabs>
    </w:pPr>
  </w:style>
  <w:style w:type="character" w:customStyle="1" w:styleId="HeaderChar">
    <w:name w:val="Header Char"/>
    <w:basedOn w:val="DefaultParagraphFont"/>
    <w:link w:val="Header"/>
    <w:rsid w:val="003E202F"/>
    <w:rPr>
      <w:rFonts w:ascii="Foundry Form Sans" w:hAnsi="Foundry Form Sans"/>
      <w:sz w:val="24"/>
      <w:szCs w:val="24"/>
      <w:lang w:eastAsia="en-US"/>
    </w:rPr>
  </w:style>
  <w:style w:type="paragraph" w:styleId="Footer">
    <w:name w:val="footer"/>
    <w:basedOn w:val="Normal"/>
    <w:link w:val="FooterChar"/>
    <w:uiPriority w:val="99"/>
    <w:unhideWhenUsed/>
    <w:rsid w:val="003E202F"/>
    <w:pPr>
      <w:tabs>
        <w:tab w:val="center" w:pos="4513"/>
        <w:tab w:val="right" w:pos="9026"/>
      </w:tabs>
    </w:pPr>
  </w:style>
  <w:style w:type="character" w:customStyle="1" w:styleId="FooterChar">
    <w:name w:val="Footer Char"/>
    <w:basedOn w:val="DefaultParagraphFont"/>
    <w:link w:val="Footer"/>
    <w:uiPriority w:val="99"/>
    <w:rsid w:val="003E202F"/>
    <w:rPr>
      <w:rFonts w:ascii="Foundry Form Sans" w:hAnsi="Foundry Form Sans"/>
      <w:sz w:val="24"/>
      <w:szCs w:val="24"/>
      <w:lang w:eastAsia="en-US"/>
    </w:rPr>
  </w:style>
  <w:style w:type="paragraph" w:customStyle="1" w:styleId="paragraph">
    <w:name w:val="paragraph"/>
    <w:basedOn w:val="Normal"/>
    <w:rsid w:val="00AF7A4A"/>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AF7A4A"/>
  </w:style>
  <w:style w:type="character" w:customStyle="1" w:styleId="eop">
    <w:name w:val="eop"/>
    <w:basedOn w:val="DefaultParagraphFont"/>
    <w:rsid w:val="00AF7A4A"/>
  </w:style>
  <w:style w:type="character" w:styleId="Hyperlink">
    <w:name w:val="Hyperlink"/>
    <w:basedOn w:val="DefaultParagraphFont"/>
    <w:unhideWhenUsed/>
    <w:rsid w:val="000775B0"/>
    <w:rPr>
      <w:color w:val="0000FF" w:themeColor="hyperlink"/>
      <w:u w:val="single"/>
    </w:rPr>
  </w:style>
  <w:style w:type="character" w:styleId="UnresolvedMention">
    <w:name w:val="Unresolved Mention"/>
    <w:basedOn w:val="DefaultParagraphFont"/>
    <w:uiPriority w:val="99"/>
    <w:semiHidden/>
    <w:unhideWhenUsed/>
    <w:rsid w:val="000775B0"/>
    <w:rPr>
      <w:color w:val="605E5C"/>
      <w:shd w:val="clear" w:color="auto" w:fill="E1DFDD"/>
    </w:rPr>
  </w:style>
  <w:style w:type="character" w:styleId="FollowedHyperlink">
    <w:name w:val="FollowedHyperlink"/>
    <w:basedOn w:val="DefaultParagraphFont"/>
    <w:semiHidden/>
    <w:unhideWhenUsed/>
    <w:rsid w:val="00287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924">
      <w:bodyDiv w:val="1"/>
      <w:marLeft w:val="0"/>
      <w:marRight w:val="0"/>
      <w:marTop w:val="0"/>
      <w:marBottom w:val="0"/>
      <w:divBdr>
        <w:top w:val="none" w:sz="0" w:space="0" w:color="auto"/>
        <w:left w:val="none" w:sz="0" w:space="0" w:color="auto"/>
        <w:bottom w:val="none" w:sz="0" w:space="0" w:color="auto"/>
        <w:right w:val="none" w:sz="0" w:space="0" w:color="auto"/>
      </w:divBdr>
    </w:div>
    <w:div w:id="34040707">
      <w:bodyDiv w:val="1"/>
      <w:marLeft w:val="0"/>
      <w:marRight w:val="0"/>
      <w:marTop w:val="0"/>
      <w:marBottom w:val="0"/>
      <w:divBdr>
        <w:top w:val="none" w:sz="0" w:space="0" w:color="auto"/>
        <w:left w:val="none" w:sz="0" w:space="0" w:color="auto"/>
        <w:bottom w:val="none" w:sz="0" w:space="0" w:color="auto"/>
        <w:right w:val="none" w:sz="0" w:space="0" w:color="auto"/>
      </w:divBdr>
    </w:div>
    <w:div w:id="97801096">
      <w:bodyDiv w:val="1"/>
      <w:marLeft w:val="0"/>
      <w:marRight w:val="0"/>
      <w:marTop w:val="0"/>
      <w:marBottom w:val="0"/>
      <w:divBdr>
        <w:top w:val="none" w:sz="0" w:space="0" w:color="auto"/>
        <w:left w:val="none" w:sz="0" w:space="0" w:color="auto"/>
        <w:bottom w:val="none" w:sz="0" w:space="0" w:color="auto"/>
        <w:right w:val="none" w:sz="0" w:space="0" w:color="auto"/>
      </w:divBdr>
    </w:div>
    <w:div w:id="98331256">
      <w:bodyDiv w:val="1"/>
      <w:marLeft w:val="0"/>
      <w:marRight w:val="0"/>
      <w:marTop w:val="0"/>
      <w:marBottom w:val="0"/>
      <w:divBdr>
        <w:top w:val="none" w:sz="0" w:space="0" w:color="auto"/>
        <w:left w:val="none" w:sz="0" w:space="0" w:color="auto"/>
        <w:bottom w:val="none" w:sz="0" w:space="0" w:color="auto"/>
        <w:right w:val="none" w:sz="0" w:space="0" w:color="auto"/>
      </w:divBdr>
    </w:div>
    <w:div w:id="192307395">
      <w:bodyDiv w:val="1"/>
      <w:marLeft w:val="0"/>
      <w:marRight w:val="0"/>
      <w:marTop w:val="0"/>
      <w:marBottom w:val="0"/>
      <w:divBdr>
        <w:top w:val="none" w:sz="0" w:space="0" w:color="auto"/>
        <w:left w:val="none" w:sz="0" w:space="0" w:color="auto"/>
        <w:bottom w:val="none" w:sz="0" w:space="0" w:color="auto"/>
        <w:right w:val="none" w:sz="0" w:space="0" w:color="auto"/>
      </w:divBdr>
    </w:div>
    <w:div w:id="196165882">
      <w:bodyDiv w:val="1"/>
      <w:marLeft w:val="0"/>
      <w:marRight w:val="0"/>
      <w:marTop w:val="0"/>
      <w:marBottom w:val="0"/>
      <w:divBdr>
        <w:top w:val="none" w:sz="0" w:space="0" w:color="auto"/>
        <w:left w:val="none" w:sz="0" w:space="0" w:color="auto"/>
        <w:bottom w:val="none" w:sz="0" w:space="0" w:color="auto"/>
        <w:right w:val="none" w:sz="0" w:space="0" w:color="auto"/>
      </w:divBdr>
    </w:div>
    <w:div w:id="535503833">
      <w:bodyDiv w:val="1"/>
      <w:marLeft w:val="0"/>
      <w:marRight w:val="0"/>
      <w:marTop w:val="0"/>
      <w:marBottom w:val="0"/>
      <w:divBdr>
        <w:top w:val="none" w:sz="0" w:space="0" w:color="auto"/>
        <w:left w:val="none" w:sz="0" w:space="0" w:color="auto"/>
        <w:bottom w:val="none" w:sz="0" w:space="0" w:color="auto"/>
        <w:right w:val="none" w:sz="0" w:space="0" w:color="auto"/>
      </w:divBdr>
    </w:div>
    <w:div w:id="605040932">
      <w:bodyDiv w:val="1"/>
      <w:marLeft w:val="0"/>
      <w:marRight w:val="0"/>
      <w:marTop w:val="0"/>
      <w:marBottom w:val="0"/>
      <w:divBdr>
        <w:top w:val="none" w:sz="0" w:space="0" w:color="auto"/>
        <w:left w:val="none" w:sz="0" w:space="0" w:color="auto"/>
        <w:bottom w:val="none" w:sz="0" w:space="0" w:color="auto"/>
        <w:right w:val="none" w:sz="0" w:space="0" w:color="auto"/>
      </w:divBdr>
    </w:div>
    <w:div w:id="705712229">
      <w:bodyDiv w:val="1"/>
      <w:marLeft w:val="0"/>
      <w:marRight w:val="0"/>
      <w:marTop w:val="0"/>
      <w:marBottom w:val="0"/>
      <w:divBdr>
        <w:top w:val="none" w:sz="0" w:space="0" w:color="auto"/>
        <w:left w:val="none" w:sz="0" w:space="0" w:color="auto"/>
        <w:bottom w:val="none" w:sz="0" w:space="0" w:color="auto"/>
        <w:right w:val="none" w:sz="0" w:space="0" w:color="auto"/>
      </w:divBdr>
    </w:div>
    <w:div w:id="718750362">
      <w:bodyDiv w:val="1"/>
      <w:marLeft w:val="0"/>
      <w:marRight w:val="0"/>
      <w:marTop w:val="0"/>
      <w:marBottom w:val="0"/>
      <w:divBdr>
        <w:top w:val="none" w:sz="0" w:space="0" w:color="auto"/>
        <w:left w:val="none" w:sz="0" w:space="0" w:color="auto"/>
        <w:bottom w:val="none" w:sz="0" w:space="0" w:color="auto"/>
        <w:right w:val="none" w:sz="0" w:space="0" w:color="auto"/>
      </w:divBdr>
    </w:div>
    <w:div w:id="723060649">
      <w:bodyDiv w:val="1"/>
      <w:marLeft w:val="0"/>
      <w:marRight w:val="0"/>
      <w:marTop w:val="0"/>
      <w:marBottom w:val="0"/>
      <w:divBdr>
        <w:top w:val="none" w:sz="0" w:space="0" w:color="auto"/>
        <w:left w:val="none" w:sz="0" w:space="0" w:color="auto"/>
        <w:bottom w:val="none" w:sz="0" w:space="0" w:color="auto"/>
        <w:right w:val="none" w:sz="0" w:space="0" w:color="auto"/>
      </w:divBdr>
    </w:div>
    <w:div w:id="813988337">
      <w:bodyDiv w:val="1"/>
      <w:marLeft w:val="0"/>
      <w:marRight w:val="0"/>
      <w:marTop w:val="0"/>
      <w:marBottom w:val="0"/>
      <w:divBdr>
        <w:top w:val="none" w:sz="0" w:space="0" w:color="auto"/>
        <w:left w:val="none" w:sz="0" w:space="0" w:color="auto"/>
        <w:bottom w:val="none" w:sz="0" w:space="0" w:color="auto"/>
        <w:right w:val="none" w:sz="0" w:space="0" w:color="auto"/>
      </w:divBdr>
    </w:div>
    <w:div w:id="912130641">
      <w:bodyDiv w:val="1"/>
      <w:marLeft w:val="0"/>
      <w:marRight w:val="0"/>
      <w:marTop w:val="0"/>
      <w:marBottom w:val="0"/>
      <w:divBdr>
        <w:top w:val="none" w:sz="0" w:space="0" w:color="auto"/>
        <w:left w:val="none" w:sz="0" w:space="0" w:color="auto"/>
        <w:bottom w:val="none" w:sz="0" w:space="0" w:color="auto"/>
        <w:right w:val="none" w:sz="0" w:space="0" w:color="auto"/>
      </w:divBdr>
    </w:div>
    <w:div w:id="919339335">
      <w:bodyDiv w:val="1"/>
      <w:marLeft w:val="0"/>
      <w:marRight w:val="0"/>
      <w:marTop w:val="0"/>
      <w:marBottom w:val="0"/>
      <w:divBdr>
        <w:top w:val="none" w:sz="0" w:space="0" w:color="auto"/>
        <w:left w:val="none" w:sz="0" w:space="0" w:color="auto"/>
        <w:bottom w:val="none" w:sz="0" w:space="0" w:color="auto"/>
        <w:right w:val="none" w:sz="0" w:space="0" w:color="auto"/>
      </w:divBdr>
    </w:div>
    <w:div w:id="936643041">
      <w:bodyDiv w:val="1"/>
      <w:marLeft w:val="0"/>
      <w:marRight w:val="0"/>
      <w:marTop w:val="0"/>
      <w:marBottom w:val="0"/>
      <w:divBdr>
        <w:top w:val="none" w:sz="0" w:space="0" w:color="auto"/>
        <w:left w:val="none" w:sz="0" w:space="0" w:color="auto"/>
        <w:bottom w:val="none" w:sz="0" w:space="0" w:color="auto"/>
        <w:right w:val="none" w:sz="0" w:space="0" w:color="auto"/>
      </w:divBdr>
    </w:div>
    <w:div w:id="1028530118">
      <w:bodyDiv w:val="1"/>
      <w:marLeft w:val="0"/>
      <w:marRight w:val="0"/>
      <w:marTop w:val="0"/>
      <w:marBottom w:val="0"/>
      <w:divBdr>
        <w:top w:val="none" w:sz="0" w:space="0" w:color="auto"/>
        <w:left w:val="none" w:sz="0" w:space="0" w:color="auto"/>
        <w:bottom w:val="none" w:sz="0" w:space="0" w:color="auto"/>
        <w:right w:val="none" w:sz="0" w:space="0" w:color="auto"/>
      </w:divBdr>
    </w:div>
    <w:div w:id="1077283543">
      <w:bodyDiv w:val="1"/>
      <w:marLeft w:val="0"/>
      <w:marRight w:val="0"/>
      <w:marTop w:val="0"/>
      <w:marBottom w:val="0"/>
      <w:divBdr>
        <w:top w:val="none" w:sz="0" w:space="0" w:color="auto"/>
        <w:left w:val="none" w:sz="0" w:space="0" w:color="auto"/>
        <w:bottom w:val="none" w:sz="0" w:space="0" w:color="auto"/>
        <w:right w:val="none" w:sz="0" w:space="0" w:color="auto"/>
      </w:divBdr>
    </w:div>
    <w:div w:id="1095177422">
      <w:bodyDiv w:val="1"/>
      <w:marLeft w:val="0"/>
      <w:marRight w:val="0"/>
      <w:marTop w:val="0"/>
      <w:marBottom w:val="0"/>
      <w:divBdr>
        <w:top w:val="none" w:sz="0" w:space="0" w:color="auto"/>
        <w:left w:val="none" w:sz="0" w:space="0" w:color="auto"/>
        <w:bottom w:val="none" w:sz="0" w:space="0" w:color="auto"/>
        <w:right w:val="none" w:sz="0" w:space="0" w:color="auto"/>
      </w:divBdr>
    </w:div>
    <w:div w:id="1231503459">
      <w:bodyDiv w:val="1"/>
      <w:marLeft w:val="0"/>
      <w:marRight w:val="0"/>
      <w:marTop w:val="0"/>
      <w:marBottom w:val="0"/>
      <w:divBdr>
        <w:top w:val="none" w:sz="0" w:space="0" w:color="auto"/>
        <w:left w:val="none" w:sz="0" w:space="0" w:color="auto"/>
        <w:bottom w:val="none" w:sz="0" w:space="0" w:color="auto"/>
        <w:right w:val="none" w:sz="0" w:space="0" w:color="auto"/>
      </w:divBdr>
    </w:div>
    <w:div w:id="1237009267">
      <w:bodyDiv w:val="1"/>
      <w:marLeft w:val="0"/>
      <w:marRight w:val="0"/>
      <w:marTop w:val="0"/>
      <w:marBottom w:val="0"/>
      <w:divBdr>
        <w:top w:val="none" w:sz="0" w:space="0" w:color="auto"/>
        <w:left w:val="none" w:sz="0" w:space="0" w:color="auto"/>
        <w:bottom w:val="none" w:sz="0" w:space="0" w:color="auto"/>
        <w:right w:val="none" w:sz="0" w:space="0" w:color="auto"/>
      </w:divBdr>
    </w:div>
    <w:div w:id="1243758360">
      <w:bodyDiv w:val="1"/>
      <w:marLeft w:val="0"/>
      <w:marRight w:val="0"/>
      <w:marTop w:val="0"/>
      <w:marBottom w:val="0"/>
      <w:divBdr>
        <w:top w:val="none" w:sz="0" w:space="0" w:color="auto"/>
        <w:left w:val="none" w:sz="0" w:space="0" w:color="auto"/>
        <w:bottom w:val="none" w:sz="0" w:space="0" w:color="auto"/>
        <w:right w:val="none" w:sz="0" w:space="0" w:color="auto"/>
      </w:divBdr>
    </w:div>
    <w:div w:id="1301032295">
      <w:bodyDiv w:val="1"/>
      <w:marLeft w:val="0"/>
      <w:marRight w:val="0"/>
      <w:marTop w:val="0"/>
      <w:marBottom w:val="0"/>
      <w:divBdr>
        <w:top w:val="none" w:sz="0" w:space="0" w:color="auto"/>
        <w:left w:val="none" w:sz="0" w:space="0" w:color="auto"/>
        <w:bottom w:val="none" w:sz="0" w:space="0" w:color="auto"/>
        <w:right w:val="none" w:sz="0" w:space="0" w:color="auto"/>
      </w:divBdr>
    </w:div>
    <w:div w:id="1357079354">
      <w:bodyDiv w:val="1"/>
      <w:marLeft w:val="0"/>
      <w:marRight w:val="0"/>
      <w:marTop w:val="0"/>
      <w:marBottom w:val="0"/>
      <w:divBdr>
        <w:top w:val="none" w:sz="0" w:space="0" w:color="auto"/>
        <w:left w:val="none" w:sz="0" w:space="0" w:color="auto"/>
        <w:bottom w:val="none" w:sz="0" w:space="0" w:color="auto"/>
        <w:right w:val="none" w:sz="0" w:space="0" w:color="auto"/>
      </w:divBdr>
    </w:div>
    <w:div w:id="1496645751">
      <w:bodyDiv w:val="1"/>
      <w:marLeft w:val="0"/>
      <w:marRight w:val="0"/>
      <w:marTop w:val="0"/>
      <w:marBottom w:val="0"/>
      <w:divBdr>
        <w:top w:val="none" w:sz="0" w:space="0" w:color="auto"/>
        <w:left w:val="none" w:sz="0" w:space="0" w:color="auto"/>
        <w:bottom w:val="none" w:sz="0" w:space="0" w:color="auto"/>
        <w:right w:val="none" w:sz="0" w:space="0" w:color="auto"/>
      </w:divBdr>
    </w:div>
    <w:div w:id="1497502101">
      <w:bodyDiv w:val="1"/>
      <w:marLeft w:val="0"/>
      <w:marRight w:val="0"/>
      <w:marTop w:val="0"/>
      <w:marBottom w:val="0"/>
      <w:divBdr>
        <w:top w:val="none" w:sz="0" w:space="0" w:color="auto"/>
        <w:left w:val="none" w:sz="0" w:space="0" w:color="auto"/>
        <w:bottom w:val="none" w:sz="0" w:space="0" w:color="auto"/>
        <w:right w:val="none" w:sz="0" w:space="0" w:color="auto"/>
      </w:divBdr>
    </w:div>
    <w:div w:id="1574045175">
      <w:bodyDiv w:val="1"/>
      <w:marLeft w:val="0"/>
      <w:marRight w:val="0"/>
      <w:marTop w:val="0"/>
      <w:marBottom w:val="0"/>
      <w:divBdr>
        <w:top w:val="none" w:sz="0" w:space="0" w:color="auto"/>
        <w:left w:val="none" w:sz="0" w:space="0" w:color="auto"/>
        <w:bottom w:val="none" w:sz="0" w:space="0" w:color="auto"/>
        <w:right w:val="none" w:sz="0" w:space="0" w:color="auto"/>
      </w:divBdr>
    </w:div>
    <w:div w:id="1575043300">
      <w:bodyDiv w:val="1"/>
      <w:marLeft w:val="0"/>
      <w:marRight w:val="0"/>
      <w:marTop w:val="0"/>
      <w:marBottom w:val="0"/>
      <w:divBdr>
        <w:top w:val="none" w:sz="0" w:space="0" w:color="auto"/>
        <w:left w:val="none" w:sz="0" w:space="0" w:color="auto"/>
        <w:bottom w:val="none" w:sz="0" w:space="0" w:color="auto"/>
        <w:right w:val="none" w:sz="0" w:space="0" w:color="auto"/>
      </w:divBdr>
    </w:div>
    <w:div w:id="1668248646">
      <w:bodyDiv w:val="1"/>
      <w:marLeft w:val="0"/>
      <w:marRight w:val="0"/>
      <w:marTop w:val="0"/>
      <w:marBottom w:val="0"/>
      <w:divBdr>
        <w:top w:val="none" w:sz="0" w:space="0" w:color="auto"/>
        <w:left w:val="none" w:sz="0" w:space="0" w:color="auto"/>
        <w:bottom w:val="none" w:sz="0" w:space="0" w:color="auto"/>
        <w:right w:val="none" w:sz="0" w:space="0" w:color="auto"/>
      </w:divBdr>
    </w:div>
    <w:div w:id="1854146469">
      <w:bodyDiv w:val="1"/>
      <w:marLeft w:val="0"/>
      <w:marRight w:val="0"/>
      <w:marTop w:val="0"/>
      <w:marBottom w:val="0"/>
      <w:divBdr>
        <w:top w:val="none" w:sz="0" w:space="0" w:color="auto"/>
        <w:left w:val="none" w:sz="0" w:space="0" w:color="auto"/>
        <w:bottom w:val="none" w:sz="0" w:space="0" w:color="auto"/>
        <w:right w:val="none" w:sz="0" w:space="0" w:color="auto"/>
      </w:divBdr>
    </w:div>
    <w:div w:id="1860047883">
      <w:bodyDiv w:val="1"/>
      <w:marLeft w:val="0"/>
      <w:marRight w:val="0"/>
      <w:marTop w:val="0"/>
      <w:marBottom w:val="0"/>
      <w:divBdr>
        <w:top w:val="none" w:sz="0" w:space="0" w:color="auto"/>
        <w:left w:val="none" w:sz="0" w:space="0" w:color="auto"/>
        <w:bottom w:val="none" w:sz="0" w:space="0" w:color="auto"/>
        <w:right w:val="none" w:sz="0" w:space="0" w:color="auto"/>
      </w:divBdr>
    </w:div>
    <w:div w:id="1867212753">
      <w:bodyDiv w:val="1"/>
      <w:marLeft w:val="0"/>
      <w:marRight w:val="0"/>
      <w:marTop w:val="0"/>
      <w:marBottom w:val="0"/>
      <w:divBdr>
        <w:top w:val="none" w:sz="0" w:space="0" w:color="auto"/>
        <w:left w:val="none" w:sz="0" w:space="0" w:color="auto"/>
        <w:bottom w:val="none" w:sz="0" w:space="0" w:color="auto"/>
        <w:right w:val="none" w:sz="0" w:space="0" w:color="auto"/>
      </w:divBdr>
    </w:div>
    <w:div w:id="1933581465">
      <w:bodyDiv w:val="1"/>
      <w:marLeft w:val="0"/>
      <w:marRight w:val="0"/>
      <w:marTop w:val="0"/>
      <w:marBottom w:val="0"/>
      <w:divBdr>
        <w:top w:val="none" w:sz="0" w:space="0" w:color="auto"/>
        <w:left w:val="none" w:sz="0" w:space="0" w:color="auto"/>
        <w:bottom w:val="none" w:sz="0" w:space="0" w:color="auto"/>
        <w:right w:val="none" w:sz="0" w:space="0" w:color="auto"/>
      </w:divBdr>
    </w:div>
    <w:div w:id="2016567709">
      <w:bodyDiv w:val="1"/>
      <w:marLeft w:val="0"/>
      <w:marRight w:val="0"/>
      <w:marTop w:val="0"/>
      <w:marBottom w:val="0"/>
      <w:divBdr>
        <w:top w:val="none" w:sz="0" w:space="0" w:color="auto"/>
        <w:left w:val="none" w:sz="0" w:space="0" w:color="auto"/>
        <w:bottom w:val="none" w:sz="0" w:space="0" w:color="auto"/>
        <w:right w:val="none" w:sz="0" w:space="0" w:color="auto"/>
      </w:divBdr>
    </w:div>
    <w:div w:id="21198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london.gov.uk/economic-fairness/labour-market/employment-gaps/" TargetMode="External"/><Relationship Id="rId18" Type="http://schemas.openxmlformats.org/officeDocument/2006/relationships/hyperlink" Target="https://data.london.gov.uk/dataset/gla-poll-results-cost-of-living-202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ata.london.gov.uk/dataset/state-of-london" TargetMode="External"/><Relationship Id="rId7" Type="http://schemas.openxmlformats.org/officeDocument/2006/relationships/settings" Target="settings.xml"/><Relationship Id="rId12" Type="http://schemas.openxmlformats.org/officeDocument/2006/relationships/hyperlink" Target="https://data.london.gov.uk/economic-fairness/labour-market/employment-gaps/" TargetMode="External"/><Relationship Id="rId17" Type="http://schemas.openxmlformats.org/officeDocument/2006/relationships/hyperlink" Target="https://data.london.gov.uk/economic-fairness/labour-market/disability-pay-ga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ata.london.gov.uk/economic-fairness/labour-market/ethnicity-pay-gap/" TargetMode="External"/><Relationship Id="rId20" Type="http://schemas.openxmlformats.org/officeDocument/2006/relationships/hyperlink" Target="https://data.london.gov.uk/economic-fairness/living-standards/population-in-pover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who-we-are/what-mayor-does/priorities-london/londons-recovery-coronavirus-crisis/london-partnership-board/building-fairer-city-plan" TargetMode="External"/><Relationship Id="rId24" Type="http://schemas.openxmlformats.org/officeDocument/2006/relationships/hyperlink" Target="https://qualitydashboard.threesixtygiving.org/alldata" TargetMode="External"/><Relationship Id="rId5" Type="http://schemas.openxmlformats.org/officeDocument/2006/relationships/numbering" Target="numbering.xml"/><Relationship Id="rId15" Type="http://schemas.openxmlformats.org/officeDocument/2006/relationships/hyperlink" Target="https://data.london.gov.uk/economic-fairness/labour-market/gender-pay-gap/" TargetMode="External"/><Relationship Id="rId23" Type="http://schemas.openxmlformats.org/officeDocument/2006/relationships/hyperlink" Target="https://grantnav.threesixtygiving.org/" TargetMode="External"/><Relationship Id="rId10" Type="http://schemas.openxmlformats.org/officeDocument/2006/relationships/endnotes" Target="endnotes.xml"/><Relationship Id="rId19" Type="http://schemas.openxmlformats.org/officeDocument/2006/relationships/hyperlink" Target="https://data.london.gov.uk/economic-fairness/living-standards/disposable-inc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london.gov.uk/economic-fairness/labour-market/employment-gaps/" TargetMode="External"/><Relationship Id="rId22" Type="http://schemas.openxmlformats.org/officeDocument/2006/relationships/hyperlink" Target="https://data.london.gov.uk/dataset/survey-of-londoners-2021-2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F42B6A31C46459D968845C6DC71FC" ma:contentTypeVersion="17" ma:contentTypeDescription="Create a new document." ma:contentTypeScope="" ma:versionID="ca17bbfeea1fe0191d723dc99580653b">
  <xsd:schema xmlns:xsd="http://www.w3.org/2001/XMLSchema" xmlns:xs="http://www.w3.org/2001/XMLSchema" xmlns:p="http://schemas.microsoft.com/office/2006/metadata/properties" xmlns:ns2="8282f54d-a404-4fd8-8352-af4fd3a7910c" xmlns:ns3="0288a0a2-1ed8-4643-af62-8d19fe381c69" targetNamespace="http://schemas.microsoft.com/office/2006/metadata/properties" ma:root="true" ma:fieldsID="f32e9a29831a99229cfc15bca4372c69" ns2:_="" ns3:_="">
    <xsd:import namespace="8282f54d-a404-4fd8-8352-af4fd3a7910c"/>
    <xsd:import namespace="0288a0a2-1ed8-4643-af62-8d19fe381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2f54d-a404-4fd8-8352-af4fd3a7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88a0a2-1ed8-4643-af62-8d19fe381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0d2c70-588c-4073-aec7-c13569f1a877}" ma:internalName="TaxCatchAll" ma:showField="CatchAllData" ma:web="0288a0a2-1ed8-4643-af62-8d19fe381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88a0a2-1ed8-4643-af62-8d19fe381c69" xsi:nil="true"/>
    <lcf76f155ced4ddcb4097134ff3c332f xmlns="8282f54d-a404-4fd8-8352-af4fd3a7910c">
      <Terms xmlns="http://schemas.microsoft.com/office/infopath/2007/PartnerControls"/>
    </lcf76f155ced4ddcb4097134ff3c332f>
    <Person xmlns="8282f54d-a404-4fd8-8352-af4fd3a7910c">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394D-EF24-4034-8F3B-8226F364D879}"/>
</file>

<file path=customXml/itemProps2.xml><?xml version="1.0" encoding="utf-8"?>
<ds:datastoreItem xmlns:ds="http://schemas.openxmlformats.org/officeDocument/2006/customXml" ds:itemID="{87B52063-00C5-4776-9980-D5CAE1BB4E4F}">
  <ds:schemaRefs>
    <ds:schemaRef ds:uri="http://schemas.microsoft.com/sharepoint/v3/contenttype/forms"/>
  </ds:schemaRefs>
</ds:datastoreItem>
</file>

<file path=customXml/itemProps3.xml><?xml version="1.0" encoding="utf-8"?>
<ds:datastoreItem xmlns:ds="http://schemas.openxmlformats.org/officeDocument/2006/customXml" ds:itemID="{CC0B407C-F0C1-4F11-8DD8-0A1A4E02A35A}">
  <ds:schemaRefs>
    <ds:schemaRef ds:uri="http://schemas.microsoft.com/office/2006/metadata/properties"/>
    <ds:schemaRef ds:uri="http://schemas.microsoft.com/office/infopath/2007/PartnerControls"/>
    <ds:schemaRef ds:uri="52527783-db4b-431d-b319-53fa8250851d"/>
    <ds:schemaRef ds:uri="9f8c0a1b-2ad2-4fa8-a83a-e2f89c0c2c31"/>
  </ds:schemaRefs>
</ds:datastoreItem>
</file>

<file path=customXml/itemProps4.xml><?xml version="1.0" encoding="utf-8"?>
<ds:datastoreItem xmlns:ds="http://schemas.openxmlformats.org/officeDocument/2006/customXml" ds:itemID="{45F9C4BF-CB70-444A-8E45-58E3BF3B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2620</Words>
  <Characters>14940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Fong</dc:creator>
  <cp:keywords/>
  <dc:description/>
  <cp:lastModifiedBy>Rob Downey</cp:lastModifiedBy>
  <cp:revision>2</cp:revision>
  <dcterms:created xsi:type="dcterms:W3CDTF">2023-10-25T13:03:00Z</dcterms:created>
  <dcterms:modified xsi:type="dcterms:W3CDTF">2023-10-25T13:03:00Z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0x010100A97F42B6A31C46459D968845C6DC71FC</vt:lpwstr>
  </property>
</Properties>
</file>